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C5FF" w14:textId="77777777" w:rsidR="00B72132" w:rsidRPr="00A161AC" w:rsidRDefault="00B72132" w:rsidP="00B72132">
      <w:pPr>
        <w:sectPr w:rsidR="00B72132" w:rsidRPr="00A161AC" w:rsidSect="006E32A3">
          <w:headerReference w:type="even" r:id="rId11"/>
          <w:headerReference w:type="default" r:id="rId12"/>
          <w:headerReference w:type="first" r:id="rId13"/>
          <w:footerReference w:type="first" r:id="rId14"/>
          <w:pgSz w:w="11906" w:h="16838"/>
          <w:pgMar w:top="2268" w:right="1021" w:bottom="1021" w:left="1021" w:header="454" w:footer="556" w:gutter="0"/>
          <w:cols w:space="708"/>
          <w:titlePg/>
          <w:docGrid w:linePitch="360"/>
        </w:sectPr>
      </w:pPr>
    </w:p>
    <w:bookmarkStart w:id="0" w:name="_Toc142043216"/>
    <w:p w14:paraId="66BCC165" w14:textId="3889833E" w:rsidR="00EE0481" w:rsidRPr="00A161AC" w:rsidRDefault="000916D1" w:rsidP="007C4C38">
      <w:pPr>
        <w:pStyle w:val="Heading1"/>
        <w:rPr>
          <w:sz w:val="72"/>
          <w:szCs w:val="28"/>
        </w:rPr>
      </w:pPr>
      <w:sdt>
        <w:sdtPr>
          <w:rPr>
            <w:sz w:val="72"/>
            <w:szCs w:val="28"/>
          </w:rPr>
          <w:alias w:val="Title"/>
          <w:tag w:val="title"/>
          <w:id w:val="1036308880"/>
          <w:placeholder>
            <w:docPart w:val="F2FB09A5FFB4BB47954469CFBB4655C6"/>
          </w:placeholder>
          <w:dataBinding w:prefixMappings="xmlns:ns0='http://purl.org/dc/elements/1.1/' xmlns:ns1='http://schemas.openxmlformats.org/package/2006/metadata/core-properties' " w:xpath="/ns1:coreProperties[1]/ns0:title[1]" w:storeItemID="{6C3C8BC8-F283-45AE-878A-BAB7291924A1}"/>
          <w:text/>
        </w:sdtPr>
        <w:sdtEndPr/>
        <w:sdtContent>
          <w:r w:rsidR="004A2900" w:rsidRPr="00A161AC">
            <w:rPr>
              <w:sz w:val="72"/>
              <w:szCs w:val="28"/>
            </w:rPr>
            <w:t>DRAFT NHS Oversight and Assessment Framewor</w:t>
          </w:r>
          <w:r w:rsidR="00FB1D3B" w:rsidRPr="00A161AC">
            <w:rPr>
              <w:sz w:val="72"/>
              <w:szCs w:val="28"/>
            </w:rPr>
            <w:t>k (accessible version)</w:t>
          </w:r>
        </w:sdtContent>
      </w:sdt>
      <w:bookmarkEnd w:id="0"/>
    </w:p>
    <w:p w14:paraId="72541FF9" w14:textId="77777777" w:rsidR="00F126B3" w:rsidRPr="00A161AC" w:rsidRDefault="00B72132" w:rsidP="00905552">
      <w:pPr>
        <w:pStyle w:val="Subheading"/>
      </w:pPr>
      <w:r w:rsidRPr="00A161AC">
        <w:t xml:space="preserve"> </w:t>
      </w:r>
    </w:p>
    <w:p w14:paraId="205B7CF5" w14:textId="77777777" w:rsidR="007375BC" w:rsidRPr="00A161AC" w:rsidRDefault="007375BC" w:rsidP="007375BC">
      <w:r w:rsidRPr="00A161AC">
        <w:rPr>
          <w:noProof/>
        </w:rPr>
        <w:drawing>
          <wp:inline distT="0" distB="0" distL="0" distR="0" wp14:anchorId="39345DFF" wp14:editId="2906C399">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70D59340" w14:textId="77777777" w:rsidR="007375BC" w:rsidRPr="00A161AC" w:rsidRDefault="007375BC" w:rsidP="007375BC">
      <w:pPr>
        <w:sectPr w:rsidR="007375BC" w:rsidRPr="00A161AC" w:rsidSect="006E32A3">
          <w:headerReference w:type="even" r:id="rId16"/>
          <w:headerReference w:type="default" r:id="rId17"/>
          <w:footerReference w:type="default" r:id="rId18"/>
          <w:headerReference w:type="first" r:id="rId19"/>
          <w:type w:val="continuous"/>
          <w:pgSz w:w="11906" w:h="16838"/>
          <w:pgMar w:top="1021" w:right="1021" w:bottom="1021" w:left="1021" w:header="454" w:footer="556" w:gutter="0"/>
          <w:cols w:space="708"/>
          <w:titlePg/>
          <w:docGrid w:linePitch="360"/>
        </w:sectPr>
      </w:pPr>
    </w:p>
    <w:p w14:paraId="4C7EECB2" w14:textId="77777777" w:rsidR="00447E51" w:rsidRPr="00A161AC" w:rsidRDefault="00447E51" w:rsidP="007C4C38">
      <w:pPr>
        <w:pStyle w:val="TOCHeading"/>
      </w:pPr>
      <w:r w:rsidRPr="00A161AC">
        <w:lastRenderedPageBreak/>
        <w:t>Contents</w:t>
      </w:r>
    </w:p>
    <w:p w14:paraId="26B42383" w14:textId="10BEC12B" w:rsidR="00886428" w:rsidRPr="00A161AC" w:rsidRDefault="00355C51">
      <w:pPr>
        <w:pStyle w:val="TOC1"/>
        <w:rPr>
          <w:rFonts w:asciiTheme="minorHAnsi" w:eastAsiaTheme="minorEastAsia" w:hAnsiTheme="minorHAnsi" w:cstheme="minorBidi"/>
          <w:color w:val="auto"/>
          <w:kern w:val="2"/>
          <w:sz w:val="22"/>
          <w:szCs w:val="22"/>
          <w:lang w:eastAsia="en-GB"/>
          <w14:ligatures w14:val="standardContextual"/>
        </w:rPr>
      </w:pPr>
      <w:r w:rsidRPr="00A161AC">
        <w:fldChar w:fldCharType="begin"/>
      </w:r>
      <w:r w:rsidRPr="00A161AC">
        <w:instrText xml:space="preserve"> TOC \h \z \t "Heading 2,1,Heading 3,2,Heading 4,3,h2 numbered,1,h3 numbered,2,h4 numbered,3" </w:instrText>
      </w:r>
      <w:r w:rsidRPr="00A161AC">
        <w:fldChar w:fldCharType="separate"/>
      </w:r>
      <w:hyperlink w:anchor="_Toc163574917" w:history="1">
        <w:r w:rsidR="00886428" w:rsidRPr="00A161AC">
          <w:rPr>
            <w:rStyle w:val="Hyperlink"/>
          </w:rPr>
          <w:t>1. Introduction</w:t>
        </w:r>
        <w:r w:rsidR="00886428" w:rsidRPr="00A161AC">
          <w:rPr>
            <w:webHidden/>
          </w:rPr>
          <w:tab/>
        </w:r>
        <w:r w:rsidR="00886428" w:rsidRPr="00A161AC">
          <w:rPr>
            <w:webHidden/>
          </w:rPr>
          <w:fldChar w:fldCharType="begin"/>
        </w:r>
        <w:r w:rsidR="00886428" w:rsidRPr="00A161AC">
          <w:rPr>
            <w:webHidden/>
          </w:rPr>
          <w:instrText xml:space="preserve"> PAGEREF _Toc163574917 \h </w:instrText>
        </w:r>
        <w:r w:rsidR="00886428" w:rsidRPr="00A161AC">
          <w:rPr>
            <w:webHidden/>
          </w:rPr>
        </w:r>
        <w:r w:rsidR="00886428" w:rsidRPr="00A161AC">
          <w:rPr>
            <w:webHidden/>
          </w:rPr>
          <w:fldChar w:fldCharType="separate"/>
        </w:r>
        <w:r w:rsidR="00886428" w:rsidRPr="00A161AC">
          <w:rPr>
            <w:webHidden/>
          </w:rPr>
          <w:t>3</w:t>
        </w:r>
        <w:r w:rsidR="00886428" w:rsidRPr="00A161AC">
          <w:rPr>
            <w:webHidden/>
          </w:rPr>
          <w:fldChar w:fldCharType="end"/>
        </w:r>
      </w:hyperlink>
    </w:p>
    <w:p w14:paraId="67C31BE0" w14:textId="133D3C6F" w:rsidR="00886428" w:rsidRPr="00A161AC" w:rsidRDefault="000916D1">
      <w:pPr>
        <w:pStyle w:val="TOC1"/>
        <w:rPr>
          <w:rFonts w:asciiTheme="minorHAnsi" w:eastAsiaTheme="minorEastAsia" w:hAnsiTheme="minorHAnsi" w:cstheme="minorBidi"/>
          <w:color w:val="auto"/>
          <w:kern w:val="2"/>
          <w:sz w:val="22"/>
          <w:szCs w:val="22"/>
          <w:lang w:eastAsia="en-GB"/>
          <w14:ligatures w14:val="standardContextual"/>
        </w:rPr>
      </w:pPr>
      <w:hyperlink w:anchor="_Toc163574918" w:history="1">
        <w:r w:rsidR="00886428" w:rsidRPr="00A161AC">
          <w:rPr>
            <w:rStyle w:val="Hyperlink"/>
          </w:rPr>
          <w:t>2. Purpose and principles</w:t>
        </w:r>
        <w:r w:rsidR="00886428" w:rsidRPr="00A161AC">
          <w:rPr>
            <w:webHidden/>
          </w:rPr>
          <w:tab/>
        </w:r>
        <w:r w:rsidR="00886428" w:rsidRPr="00A161AC">
          <w:rPr>
            <w:webHidden/>
          </w:rPr>
          <w:fldChar w:fldCharType="begin"/>
        </w:r>
        <w:r w:rsidR="00886428" w:rsidRPr="00A161AC">
          <w:rPr>
            <w:webHidden/>
          </w:rPr>
          <w:instrText xml:space="preserve"> PAGEREF _Toc163574918 \h </w:instrText>
        </w:r>
        <w:r w:rsidR="00886428" w:rsidRPr="00A161AC">
          <w:rPr>
            <w:webHidden/>
          </w:rPr>
        </w:r>
        <w:r w:rsidR="00886428" w:rsidRPr="00A161AC">
          <w:rPr>
            <w:webHidden/>
          </w:rPr>
          <w:fldChar w:fldCharType="separate"/>
        </w:r>
        <w:r w:rsidR="00886428" w:rsidRPr="00A161AC">
          <w:rPr>
            <w:webHidden/>
          </w:rPr>
          <w:t>4</w:t>
        </w:r>
        <w:r w:rsidR="00886428" w:rsidRPr="00A161AC">
          <w:rPr>
            <w:webHidden/>
          </w:rPr>
          <w:fldChar w:fldCharType="end"/>
        </w:r>
      </w:hyperlink>
    </w:p>
    <w:p w14:paraId="43113E8F" w14:textId="52FF7CA8" w:rsidR="00886428" w:rsidRPr="00A161AC" w:rsidRDefault="000916D1">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3574919" w:history="1">
        <w:r w:rsidR="00886428" w:rsidRPr="00A161AC">
          <w:rPr>
            <w:rStyle w:val="Hyperlink"/>
          </w:rPr>
          <w:t>2.1</w:t>
        </w:r>
        <w:r w:rsidR="00886428" w:rsidRPr="00A161AC">
          <w:rPr>
            <w:rFonts w:asciiTheme="minorHAnsi" w:eastAsiaTheme="minorEastAsia" w:hAnsiTheme="minorHAnsi" w:cstheme="minorBidi"/>
            <w:color w:val="auto"/>
            <w:kern w:val="2"/>
            <w:sz w:val="22"/>
            <w:szCs w:val="22"/>
            <w:lang w:eastAsia="en-GB"/>
            <w14:ligatures w14:val="standardContextual"/>
          </w:rPr>
          <w:tab/>
        </w:r>
        <w:r w:rsidR="00886428" w:rsidRPr="00A161AC">
          <w:rPr>
            <w:rStyle w:val="Hyperlink"/>
          </w:rPr>
          <w:t>Oversight and Assessment</w:t>
        </w:r>
        <w:r w:rsidR="00886428" w:rsidRPr="00A161AC">
          <w:rPr>
            <w:webHidden/>
          </w:rPr>
          <w:tab/>
        </w:r>
        <w:r w:rsidR="00886428" w:rsidRPr="00A161AC">
          <w:rPr>
            <w:webHidden/>
          </w:rPr>
          <w:fldChar w:fldCharType="begin"/>
        </w:r>
        <w:r w:rsidR="00886428" w:rsidRPr="00A161AC">
          <w:rPr>
            <w:webHidden/>
          </w:rPr>
          <w:instrText xml:space="preserve"> PAGEREF _Toc163574919 \h </w:instrText>
        </w:r>
        <w:r w:rsidR="00886428" w:rsidRPr="00A161AC">
          <w:rPr>
            <w:webHidden/>
          </w:rPr>
        </w:r>
        <w:r w:rsidR="00886428" w:rsidRPr="00A161AC">
          <w:rPr>
            <w:webHidden/>
          </w:rPr>
          <w:fldChar w:fldCharType="separate"/>
        </w:r>
        <w:r w:rsidR="00886428" w:rsidRPr="00A161AC">
          <w:rPr>
            <w:webHidden/>
          </w:rPr>
          <w:t>5</w:t>
        </w:r>
        <w:r w:rsidR="00886428" w:rsidRPr="00A161AC">
          <w:rPr>
            <w:webHidden/>
          </w:rPr>
          <w:fldChar w:fldCharType="end"/>
        </w:r>
      </w:hyperlink>
    </w:p>
    <w:p w14:paraId="0799DA28" w14:textId="2F0BEC0E" w:rsidR="00886428" w:rsidRPr="00A161AC" w:rsidRDefault="000916D1">
      <w:pPr>
        <w:pStyle w:val="TOC1"/>
        <w:rPr>
          <w:rFonts w:asciiTheme="minorHAnsi" w:eastAsiaTheme="minorEastAsia" w:hAnsiTheme="minorHAnsi" w:cstheme="minorBidi"/>
          <w:color w:val="auto"/>
          <w:kern w:val="2"/>
          <w:sz w:val="22"/>
          <w:szCs w:val="22"/>
          <w:lang w:eastAsia="en-GB"/>
          <w14:ligatures w14:val="standardContextual"/>
        </w:rPr>
      </w:pPr>
      <w:hyperlink w:anchor="_Toc163574920" w:history="1">
        <w:r w:rsidR="00886428" w:rsidRPr="00A161AC">
          <w:rPr>
            <w:rStyle w:val="Hyperlink"/>
          </w:rPr>
          <w:t>3. Roles and Responsibilities</w:t>
        </w:r>
        <w:r w:rsidR="00886428" w:rsidRPr="00A161AC">
          <w:rPr>
            <w:webHidden/>
          </w:rPr>
          <w:tab/>
        </w:r>
        <w:r w:rsidR="00886428" w:rsidRPr="00A161AC">
          <w:rPr>
            <w:webHidden/>
          </w:rPr>
          <w:fldChar w:fldCharType="begin"/>
        </w:r>
        <w:r w:rsidR="00886428" w:rsidRPr="00A161AC">
          <w:rPr>
            <w:webHidden/>
          </w:rPr>
          <w:instrText xml:space="preserve"> PAGEREF _Toc163574920 \h </w:instrText>
        </w:r>
        <w:r w:rsidR="00886428" w:rsidRPr="00A161AC">
          <w:rPr>
            <w:webHidden/>
          </w:rPr>
        </w:r>
        <w:r w:rsidR="00886428" w:rsidRPr="00A161AC">
          <w:rPr>
            <w:webHidden/>
          </w:rPr>
          <w:fldChar w:fldCharType="separate"/>
        </w:r>
        <w:r w:rsidR="00886428" w:rsidRPr="00A161AC">
          <w:rPr>
            <w:webHidden/>
          </w:rPr>
          <w:t>7</w:t>
        </w:r>
        <w:r w:rsidR="00886428" w:rsidRPr="00A161AC">
          <w:rPr>
            <w:webHidden/>
          </w:rPr>
          <w:fldChar w:fldCharType="end"/>
        </w:r>
      </w:hyperlink>
    </w:p>
    <w:p w14:paraId="3452DAB8" w14:textId="4BC12071" w:rsidR="00886428" w:rsidRPr="00A161AC" w:rsidRDefault="000916D1">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3574921" w:history="1">
        <w:r w:rsidR="00886428" w:rsidRPr="00A161AC">
          <w:rPr>
            <w:rStyle w:val="Hyperlink"/>
          </w:rPr>
          <w:t>3.1</w:t>
        </w:r>
        <w:r w:rsidR="00886428" w:rsidRPr="00A161AC">
          <w:rPr>
            <w:rFonts w:asciiTheme="minorHAnsi" w:eastAsiaTheme="minorEastAsia" w:hAnsiTheme="minorHAnsi" w:cstheme="minorBidi"/>
            <w:color w:val="auto"/>
            <w:kern w:val="2"/>
            <w:sz w:val="22"/>
            <w:szCs w:val="22"/>
            <w:lang w:eastAsia="en-GB"/>
            <w14:ligatures w14:val="standardContextual"/>
          </w:rPr>
          <w:tab/>
        </w:r>
        <w:r w:rsidR="00886428" w:rsidRPr="00A161AC">
          <w:rPr>
            <w:rStyle w:val="Hyperlink"/>
          </w:rPr>
          <w:t>Oversight of Providers</w:t>
        </w:r>
        <w:r w:rsidR="00886428" w:rsidRPr="00A161AC">
          <w:rPr>
            <w:webHidden/>
          </w:rPr>
          <w:tab/>
        </w:r>
        <w:r w:rsidR="00886428" w:rsidRPr="00A161AC">
          <w:rPr>
            <w:webHidden/>
          </w:rPr>
          <w:fldChar w:fldCharType="begin"/>
        </w:r>
        <w:r w:rsidR="00886428" w:rsidRPr="00A161AC">
          <w:rPr>
            <w:webHidden/>
          </w:rPr>
          <w:instrText xml:space="preserve"> PAGEREF _Toc163574921 \h </w:instrText>
        </w:r>
        <w:r w:rsidR="00886428" w:rsidRPr="00A161AC">
          <w:rPr>
            <w:webHidden/>
          </w:rPr>
        </w:r>
        <w:r w:rsidR="00886428" w:rsidRPr="00A161AC">
          <w:rPr>
            <w:webHidden/>
          </w:rPr>
          <w:fldChar w:fldCharType="separate"/>
        </w:r>
        <w:r w:rsidR="00886428" w:rsidRPr="00A161AC">
          <w:rPr>
            <w:webHidden/>
          </w:rPr>
          <w:t>7</w:t>
        </w:r>
        <w:r w:rsidR="00886428" w:rsidRPr="00A161AC">
          <w:rPr>
            <w:webHidden/>
          </w:rPr>
          <w:fldChar w:fldCharType="end"/>
        </w:r>
      </w:hyperlink>
    </w:p>
    <w:p w14:paraId="699D826F" w14:textId="5726A4AA" w:rsidR="00886428" w:rsidRPr="00A161AC" w:rsidRDefault="000916D1">
      <w:pPr>
        <w:pStyle w:val="TOC1"/>
        <w:rPr>
          <w:rFonts w:asciiTheme="minorHAnsi" w:eastAsiaTheme="minorEastAsia" w:hAnsiTheme="minorHAnsi" w:cstheme="minorBidi"/>
          <w:color w:val="auto"/>
          <w:kern w:val="2"/>
          <w:sz w:val="22"/>
          <w:szCs w:val="22"/>
          <w:lang w:eastAsia="en-GB"/>
          <w14:ligatures w14:val="standardContextual"/>
        </w:rPr>
      </w:pPr>
      <w:hyperlink w:anchor="_Toc163574922" w:history="1">
        <w:r w:rsidR="00886428" w:rsidRPr="00A161AC">
          <w:rPr>
            <w:rStyle w:val="Hyperlink"/>
          </w:rPr>
          <w:t>4. Oversight cycle</w:t>
        </w:r>
        <w:r w:rsidR="00886428" w:rsidRPr="00A161AC">
          <w:rPr>
            <w:webHidden/>
          </w:rPr>
          <w:tab/>
        </w:r>
        <w:r w:rsidR="00886428" w:rsidRPr="00A161AC">
          <w:rPr>
            <w:webHidden/>
          </w:rPr>
          <w:fldChar w:fldCharType="begin"/>
        </w:r>
        <w:r w:rsidR="00886428" w:rsidRPr="00A161AC">
          <w:rPr>
            <w:webHidden/>
          </w:rPr>
          <w:instrText xml:space="preserve"> PAGEREF _Toc163574922 \h </w:instrText>
        </w:r>
        <w:r w:rsidR="00886428" w:rsidRPr="00A161AC">
          <w:rPr>
            <w:webHidden/>
          </w:rPr>
        </w:r>
        <w:r w:rsidR="00886428" w:rsidRPr="00A161AC">
          <w:rPr>
            <w:webHidden/>
          </w:rPr>
          <w:fldChar w:fldCharType="separate"/>
        </w:r>
        <w:r w:rsidR="00886428" w:rsidRPr="00A161AC">
          <w:rPr>
            <w:webHidden/>
          </w:rPr>
          <w:t>11</w:t>
        </w:r>
        <w:r w:rsidR="00886428" w:rsidRPr="00A161AC">
          <w:rPr>
            <w:webHidden/>
          </w:rPr>
          <w:fldChar w:fldCharType="end"/>
        </w:r>
      </w:hyperlink>
    </w:p>
    <w:p w14:paraId="5AA1C200" w14:textId="7A64D7DB" w:rsidR="00886428" w:rsidRPr="00A161AC" w:rsidRDefault="000916D1">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3574923" w:history="1">
        <w:r w:rsidR="00886428" w:rsidRPr="00A161AC">
          <w:rPr>
            <w:rStyle w:val="Hyperlink"/>
          </w:rPr>
          <w:t>4.1</w:t>
        </w:r>
        <w:r w:rsidR="00886428" w:rsidRPr="00A161AC">
          <w:rPr>
            <w:rFonts w:asciiTheme="minorHAnsi" w:eastAsiaTheme="minorEastAsia" w:hAnsiTheme="minorHAnsi" w:cstheme="minorBidi"/>
            <w:color w:val="auto"/>
            <w:kern w:val="2"/>
            <w:sz w:val="22"/>
            <w:szCs w:val="22"/>
            <w:lang w:eastAsia="en-GB"/>
            <w14:ligatures w14:val="standardContextual"/>
          </w:rPr>
          <w:tab/>
        </w:r>
        <w:r w:rsidR="00886428" w:rsidRPr="00A161AC">
          <w:rPr>
            <w:rStyle w:val="Hyperlink"/>
          </w:rPr>
          <w:t>Monitoring</w:t>
        </w:r>
        <w:r w:rsidR="00886428" w:rsidRPr="00A161AC">
          <w:rPr>
            <w:webHidden/>
          </w:rPr>
          <w:tab/>
        </w:r>
        <w:r w:rsidR="00886428" w:rsidRPr="00A161AC">
          <w:rPr>
            <w:webHidden/>
          </w:rPr>
          <w:fldChar w:fldCharType="begin"/>
        </w:r>
        <w:r w:rsidR="00886428" w:rsidRPr="00A161AC">
          <w:rPr>
            <w:webHidden/>
          </w:rPr>
          <w:instrText xml:space="preserve"> PAGEREF _Toc163574923 \h </w:instrText>
        </w:r>
        <w:r w:rsidR="00886428" w:rsidRPr="00A161AC">
          <w:rPr>
            <w:webHidden/>
          </w:rPr>
        </w:r>
        <w:r w:rsidR="00886428" w:rsidRPr="00A161AC">
          <w:rPr>
            <w:webHidden/>
          </w:rPr>
          <w:fldChar w:fldCharType="separate"/>
        </w:r>
        <w:r w:rsidR="00886428" w:rsidRPr="00A161AC">
          <w:rPr>
            <w:webHidden/>
          </w:rPr>
          <w:t>14</w:t>
        </w:r>
        <w:r w:rsidR="00886428" w:rsidRPr="00A161AC">
          <w:rPr>
            <w:webHidden/>
          </w:rPr>
          <w:fldChar w:fldCharType="end"/>
        </w:r>
      </w:hyperlink>
    </w:p>
    <w:p w14:paraId="0A9C6680" w14:textId="5A432142" w:rsidR="00886428" w:rsidRPr="00A161AC" w:rsidRDefault="000916D1">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3574924" w:history="1">
        <w:r w:rsidR="00886428" w:rsidRPr="00A161AC">
          <w:rPr>
            <w:rStyle w:val="Hyperlink"/>
          </w:rPr>
          <w:t>4.2</w:t>
        </w:r>
        <w:r w:rsidR="00886428" w:rsidRPr="00A161AC">
          <w:rPr>
            <w:rFonts w:asciiTheme="minorHAnsi" w:eastAsiaTheme="minorEastAsia" w:hAnsiTheme="minorHAnsi" w:cstheme="minorBidi"/>
            <w:color w:val="auto"/>
            <w:kern w:val="2"/>
            <w:sz w:val="22"/>
            <w:szCs w:val="22"/>
            <w:lang w:eastAsia="en-GB"/>
            <w14:ligatures w14:val="standardContextual"/>
          </w:rPr>
          <w:tab/>
        </w:r>
        <w:r w:rsidR="00886428" w:rsidRPr="00A161AC">
          <w:rPr>
            <w:rStyle w:val="Hyperlink"/>
          </w:rPr>
          <w:t>Identifying the scale and nature of support or intervention needs</w:t>
        </w:r>
        <w:r w:rsidR="00886428" w:rsidRPr="00A161AC">
          <w:rPr>
            <w:webHidden/>
          </w:rPr>
          <w:tab/>
        </w:r>
        <w:r w:rsidR="00886428" w:rsidRPr="00A161AC">
          <w:rPr>
            <w:webHidden/>
          </w:rPr>
          <w:fldChar w:fldCharType="begin"/>
        </w:r>
        <w:r w:rsidR="00886428" w:rsidRPr="00A161AC">
          <w:rPr>
            <w:webHidden/>
          </w:rPr>
          <w:instrText xml:space="preserve"> PAGEREF _Toc163574924 \h </w:instrText>
        </w:r>
        <w:r w:rsidR="00886428" w:rsidRPr="00A161AC">
          <w:rPr>
            <w:webHidden/>
          </w:rPr>
        </w:r>
        <w:r w:rsidR="00886428" w:rsidRPr="00A161AC">
          <w:rPr>
            <w:webHidden/>
          </w:rPr>
          <w:fldChar w:fldCharType="separate"/>
        </w:r>
        <w:r w:rsidR="00886428" w:rsidRPr="00A161AC">
          <w:rPr>
            <w:webHidden/>
          </w:rPr>
          <w:t>16</w:t>
        </w:r>
        <w:r w:rsidR="00886428" w:rsidRPr="00A161AC">
          <w:rPr>
            <w:webHidden/>
          </w:rPr>
          <w:fldChar w:fldCharType="end"/>
        </w:r>
      </w:hyperlink>
    </w:p>
    <w:p w14:paraId="2D14F094" w14:textId="58DDE4FC" w:rsidR="00886428" w:rsidRPr="00A161AC" w:rsidRDefault="000916D1">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3574925" w:history="1">
        <w:r w:rsidR="00886428" w:rsidRPr="00A161AC">
          <w:rPr>
            <w:rStyle w:val="Hyperlink"/>
          </w:rPr>
          <w:t>4.3</w:t>
        </w:r>
        <w:r w:rsidR="00886428" w:rsidRPr="00A161AC">
          <w:rPr>
            <w:rFonts w:asciiTheme="minorHAnsi" w:eastAsiaTheme="minorEastAsia" w:hAnsiTheme="minorHAnsi" w:cstheme="minorBidi"/>
            <w:color w:val="auto"/>
            <w:kern w:val="2"/>
            <w:sz w:val="22"/>
            <w:szCs w:val="22"/>
            <w:lang w:eastAsia="en-GB"/>
            <w14:ligatures w14:val="standardContextual"/>
          </w:rPr>
          <w:tab/>
        </w:r>
        <w:r w:rsidR="00886428" w:rsidRPr="00A161AC">
          <w:rPr>
            <w:rStyle w:val="Hyperlink"/>
          </w:rPr>
          <w:t>Implementing support or intervention activity</w:t>
        </w:r>
        <w:r w:rsidR="00886428" w:rsidRPr="00A161AC">
          <w:rPr>
            <w:webHidden/>
          </w:rPr>
          <w:tab/>
        </w:r>
        <w:r w:rsidR="00886428" w:rsidRPr="00A161AC">
          <w:rPr>
            <w:webHidden/>
          </w:rPr>
          <w:fldChar w:fldCharType="begin"/>
        </w:r>
        <w:r w:rsidR="00886428" w:rsidRPr="00A161AC">
          <w:rPr>
            <w:webHidden/>
          </w:rPr>
          <w:instrText xml:space="preserve"> PAGEREF _Toc163574925 \h </w:instrText>
        </w:r>
        <w:r w:rsidR="00886428" w:rsidRPr="00A161AC">
          <w:rPr>
            <w:webHidden/>
          </w:rPr>
        </w:r>
        <w:r w:rsidR="00886428" w:rsidRPr="00A161AC">
          <w:rPr>
            <w:webHidden/>
          </w:rPr>
          <w:fldChar w:fldCharType="separate"/>
        </w:r>
        <w:r w:rsidR="00886428" w:rsidRPr="00A161AC">
          <w:rPr>
            <w:webHidden/>
          </w:rPr>
          <w:t>20</w:t>
        </w:r>
        <w:r w:rsidR="00886428" w:rsidRPr="00A161AC">
          <w:rPr>
            <w:webHidden/>
          </w:rPr>
          <w:fldChar w:fldCharType="end"/>
        </w:r>
      </w:hyperlink>
    </w:p>
    <w:p w14:paraId="175E1A76" w14:textId="3A0F068E" w:rsidR="00886428" w:rsidRPr="00A161AC" w:rsidRDefault="000916D1">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3574926" w:history="1">
        <w:r w:rsidR="00886428" w:rsidRPr="00A161AC">
          <w:rPr>
            <w:rStyle w:val="Hyperlink"/>
          </w:rPr>
          <w:t>4.4</w:t>
        </w:r>
        <w:r w:rsidR="00886428" w:rsidRPr="00A161AC">
          <w:rPr>
            <w:rFonts w:asciiTheme="minorHAnsi" w:eastAsiaTheme="minorEastAsia" w:hAnsiTheme="minorHAnsi" w:cstheme="minorBidi"/>
            <w:color w:val="auto"/>
            <w:kern w:val="2"/>
            <w:sz w:val="22"/>
            <w:szCs w:val="22"/>
            <w:lang w:eastAsia="en-GB"/>
            <w14:ligatures w14:val="standardContextual"/>
          </w:rPr>
          <w:tab/>
        </w:r>
        <w:r w:rsidR="00886428" w:rsidRPr="00A161AC">
          <w:rPr>
            <w:rStyle w:val="Hyperlink"/>
          </w:rPr>
          <w:t>High-performing organisations</w:t>
        </w:r>
        <w:r w:rsidR="00886428" w:rsidRPr="00A161AC">
          <w:rPr>
            <w:webHidden/>
          </w:rPr>
          <w:tab/>
        </w:r>
        <w:r w:rsidR="00886428" w:rsidRPr="00A161AC">
          <w:rPr>
            <w:webHidden/>
          </w:rPr>
          <w:fldChar w:fldCharType="begin"/>
        </w:r>
        <w:r w:rsidR="00886428" w:rsidRPr="00A161AC">
          <w:rPr>
            <w:webHidden/>
          </w:rPr>
          <w:instrText xml:space="preserve"> PAGEREF _Toc163574926 \h </w:instrText>
        </w:r>
        <w:r w:rsidR="00886428" w:rsidRPr="00A161AC">
          <w:rPr>
            <w:webHidden/>
          </w:rPr>
        </w:r>
        <w:r w:rsidR="00886428" w:rsidRPr="00A161AC">
          <w:rPr>
            <w:webHidden/>
          </w:rPr>
          <w:fldChar w:fldCharType="separate"/>
        </w:r>
        <w:r w:rsidR="00886428" w:rsidRPr="00A161AC">
          <w:rPr>
            <w:webHidden/>
          </w:rPr>
          <w:t>21</w:t>
        </w:r>
        <w:r w:rsidR="00886428" w:rsidRPr="00A161AC">
          <w:rPr>
            <w:webHidden/>
          </w:rPr>
          <w:fldChar w:fldCharType="end"/>
        </w:r>
      </w:hyperlink>
    </w:p>
    <w:p w14:paraId="1029D94B" w14:textId="01A7D92D" w:rsidR="00886428" w:rsidRPr="00A161AC" w:rsidRDefault="000916D1">
      <w:pPr>
        <w:pStyle w:val="TOC1"/>
        <w:rPr>
          <w:rFonts w:asciiTheme="minorHAnsi" w:eastAsiaTheme="minorEastAsia" w:hAnsiTheme="minorHAnsi" w:cstheme="minorBidi"/>
          <w:color w:val="auto"/>
          <w:kern w:val="2"/>
          <w:sz w:val="22"/>
          <w:szCs w:val="22"/>
          <w:lang w:eastAsia="en-GB"/>
          <w14:ligatures w14:val="standardContextual"/>
        </w:rPr>
      </w:pPr>
      <w:hyperlink w:anchor="_Toc163574927" w:history="1">
        <w:r w:rsidR="00886428" w:rsidRPr="00A161AC">
          <w:rPr>
            <w:rStyle w:val="Hyperlink"/>
          </w:rPr>
          <w:t>5. Assessment</w:t>
        </w:r>
        <w:r w:rsidR="00886428" w:rsidRPr="00A161AC">
          <w:rPr>
            <w:webHidden/>
          </w:rPr>
          <w:tab/>
        </w:r>
        <w:r w:rsidR="00886428" w:rsidRPr="00A161AC">
          <w:rPr>
            <w:webHidden/>
          </w:rPr>
          <w:fldChar w:fldCharType="begin"/>
        </w:r>
        <w:r w:rsidR="00886428" w:rsidRPr="00A161AC">
          <w:rPr>
            <w:webHidden/>
          </w:rPr>
          <w:instrText xml:space="preserve"> PAGEREF _Toc163574927 \h </w:instrText>
        </w:r>
        <w:r w:rsidR="00886428" w:rsidRPr="00A161AC">
          <w:rPr>
            <w:webHidden/>
          </w:rPr>
        </w:r>
        <w:r w:rsidR="00886428" w:rsidRPr="00A161AC">
          <w:rPr>
            <w:webHidden/>
          </w:rPr>
          <w:fldChar w:fldCharType="separate"/>
        </w:r>
        <w:r w:rsidR="00886428" w:rsidRPr="00A161AC">
          <w:rPr>
            <w:webHidden/>
          </w:rPr>
          <w:t>21</w:t>
        </w:r>
        <w:r w:rsidR="00886428" w:rsidRPr="00A161AC">
          <w:rPr>
            <w:webHidden/>
          </w:rPr>
          <w:fldChar w:fldCharType="end"/>
        </w:r>
      </w:hyperlink>
    </w:p>
    <w:p w14:paraId="3081BD1B" w14:textId="38C8F796" w:rsidR="00886428" w:rsidRPr="00A161AC" w:rsidRDefault="000916D1">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3574928" w:history="1">
        <w:r w:rsidR="00886428" w:rsidRPr="00A161AC">
          <w:rPr>
            <w:rStyle w:val="Hyperlink"/>
          </w:rPr>
          <w:t>5.1</w:t>
        </w:r>
        <w:r w:rsidR="00886428" w:rsidRPr="00A161AC">
          <w:rPr>
            <w:rFonts w:asciiTheme="minorHAnsi" w:eastAsiaTheme="minorEastAsia" w:hAnsiTheme="minorHAnsi" w:cstheme="minorBidi"/>
            <w:color w:val="auto"/>
            <w:kern w:val="2"/>
            <w:sz w:val="22"/>
            <w:szCs w:val="22"/>
            <w:lang w:eastAsia="en-GB"/>
            <w14:ligatures w14:val="standardContextual"/>
          </w:rPr>
          <w:tab/>
        </w:r>
        <w:r w:rsidR="00886428" w:rsidRPr="00A161AC">
          <w:rPr>
            <w:rStyle w:val="Hyperlink"/>
          </w:rPr>
          <w:t>ICB Annual Performance Assessment</w:t>
        </w:r>
        <w:r w:rsidR="00886428" w:rsidRPr="00A161AC">
          <w:rPr>
            <w:webHidden/>
          </w:rPr>
          <w:tab/>
        </w:r>
        <w:r w:rsidR="00886428" w:rsidRPr="00A161AC">
          <w:rPr>
            <w:webHidden/>
          </w:rPr>
          <w:fldChar w:fldCharType="begin"/>
        </w:r>
        <w:r w:rsidR="00886428" w:rsidRPr="00A161AC">
          <w:rPr>
            <w:webHidden/>
          </w:rPr>
          <w:instrText xml:space="preserve"> PAGEREF _Toc163574928 \h </w:instrText>
        </w:r>
        <w:r w:rsidR="00886428" w:rsidRPr="00A161AC">
          <w:rPr>
            <w:webHidden/>
          </w:rPr>
        </w:r>
        <w:r w:rsidR="00886428" w:rsidRPr="00A161AC">
          <w:rPr>
            <w:webHidden/>
          </w:rPr>
          <w:fldChar w:fldCharType="separate"/>
        </w:r>
        <w:r w:rsidR="00886428" w:rsidRPr="00A161AC">
          <w:rPr>
            <w:webHidden/>
          </w:rPr>
          <w:t>21</w:t>
        </w:r>
        <w:r w:rsidR="00886428" w:rsidRPr="00A161AC">
          <w:rPr>
            <w:webHidden/>
          </w:rPr>
          <w:fldChar w:fldCharType="end"/>
        </w:r>
      </w:hyperlink>
    </w:p>
    <w:p w14:paraId="7C408ABF" w14:textId="415603DC" w:rsidR="00886428" w:rsidRPr="00A161AC" w:rsidRDefault="000916D1">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3574929" w:history="1">
        <w:r w:rsidR="00886428" w:rsidRPr="00A161AC">
          <w:rPr>
            <w:rStyle w:val="Hyperlink"/>
          </w:rPr>
          <w:t>5.2</w:t>
        </w:r>
        <w:r w:rsidR="00886428" w:rsidRPr="00A161AC">
          <w:rPr>
            <w:rFonts w:asciiTheme="minorHAnsi" w:eastAsiaTheme="minorEastAsia" w:hAnsiTheme="minorHAnsi" w:cstheme="minorBidi"/>
            <w:color w:val="auto"/>
            <w:kern w:val="2"/>
            <w:sz w:val="22"/>
            <w:szCs w:val="22"/>
            <w:lang w:eastAsia="en-GB"/>
            <w14:ligatures w14:val="standardContextual"/>
          </w:rPr>
          <w:tab/>
        </w:r>
        <w:r w:rsidR="00886428" w:rsidRPr="00A161AC">
          <w:rPr>
            <w:rStyle w:val="Hyperlink"/>
          </w:rPr>
          <w:t>ICB Capability Assessment</w:t>
        </w:r>
        <w:r w:rsidR="00886428" w:rsidRPr="00A161AC">
          <w:rPr>
            <w:webHidden/>
          </w:rPr>
          <w:tab/>
        </w:r>
        <w:r w:rsidR="00886428" w:rsidRPr="00A161AC">
          <w:rPr>
            <w:webHidden/>
          </w:rPr>
          <w:fldChar w:fldCharType="begin"/>
        </w:r>
        <w:r w:rsidR="00886428" w:rsidRPr="00A161AC">
          <w:rPr>
            <w:webHidden/>
          </w:rPr>
          <w:instrText xml:space="preserve"> PAGEREF _Toc163574929 \h </w:instrText>
        </w:r>
        <w:r w:rsidR="00886428" w:rsidRPr="00A161AC">
          <w:rPr>
            <w:webHidden/>
          </w:rPr>
        </w:r>
        <w:r w:rsidR="00886428" w:rsidRPr="00A161AC">
          <w:rPr>
            <w:webHidden/>
          </w:rPr>
          <w:fldChar w:fldCharType="separate"/>
        </w:r>
        <w:r w:rsidR="00886428" w:rsidRPr="00A161AC">
          <w:rPr>
            <w:webHidden/>
          </w:rPr>
          <w:t>23</w:t>
        </w:r>
        <w:r w:rsidR="00886428" w:rsidRPr="00A161AC">
          <w:rPr>
            <w:webHidden/>
          </w:rPr>
          <w:fldChar w:fldCharType="end"/>
        </w:r>
      </w:hyperlink>
    </w:p>
    <w:p w14:paraId="5317CEB3" w14:textId="3E9EB711" w:rsidR="00886428" w:rsidRPr="00A161AC" w:rsidRDefault="000916D1">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3574930" w:history="1">
        <w:r w:rsidR="00886428" w:rsidRPr="00A161AC">
          <w:rPr>
            <w:rStyle w:val="Hyperlink"/>
          </w:rPr>
          <w:t>5.3</w:t>
        </w:r>
        <w:r w:rsidR="00886428" w:rsidRPr="00A161AC">
          <w:rPr>
            <w:rFonts w:asciiTheme="minorHAnsi" w:eastAsiaTheme="minorEastAsia" w:hAnsiTheme="minorHAnsi" w:cstheme="minorBidi"/>
            <w:color w:val="auto"/>
            <w:kern w:val="2"/>
            <w:sz w:val="22"/>
            <w:szCs w:val="22"/>
            <w:lang w:eastAsia="en-GB"/>
            <w14:ligatures w14:val="standardContextual"/>
          </w:rPr>
          <w:tab/>
        </w:r>
        <w:r w:rsidR="00886428" w:rsidRPr="00A161AC">
          <w:rPr>
            <w:rStyle w:val="Hyperlink"/>
          </w:rPr>
          <w:t>Evaluating Provider Capability</w:t>
        </w:r>
        <w:r w:rsidR="00886428" w:rsidRPr="00A161AC">
          <w:rPr>
            <w:webHidden/>
          </w:rPr>
          <w:tab/>
        </w:r>
        <w:r w:rsidR="00886428" w:rsidRPr="00A161AC">
          <w:rPr>
            <w:webHidden/>
          </w:rPr>
          <w:fldChar w:fldCharType="begin"/>
        </w:r>
        <w:r w:rsidR="00886428" w:rsidRPr="00A161AC">
          <w:rPr>
            <w:webHidden/>
          </w:rPr>
          <w:instrText xml:space="preserve"> PAGEREF _Toc163574930 \h </w:instrText>
        </w:r>
        <w:r w:rsidR="00886428" w:rsidRPr="00A161AC">
          <w:rPr>
            <w:webHidden/>
          </w:rPr>
        </w:r>
        <w:r w:rsidR="00886428" w:rsidRPr="00A161AC">
          <w:rPr>
            <w:webHidden/>
          </w:rPr>
          <w:fldChar w:fldCharType="separate"/>
        </w:r>
        <w:r w:rsidR="00886428" w:rsidRPr="00A161AC">
          <w:rPr>
            <w:webHidden/>
          </w:rPr>
          <w:t>25</w:t>
        </w:r>
        <w:r w:rsidR="00886428" w:rsidRPr="00A161AC">
          <w:rPr>
            <w:webHidden/>
          </w:rPr>
          <w:fldChar w:fldCharType="end"/>
        </w:r>
      </w:hyperlink>
    </w:p>
    <w:p w14:paraId="5361990B" w14:textId="7481DA6E" w:rsidR="00886428" w:rsidRPr="00A161AC" w:rsidRDefault="000916D1">
      <w:pPr>
        <w:pStyle w:val="TOC1"/>
        <w:rPr>
          <w:rFonts w:asciiTheme="minorHAnsi" w:eastAsiaTheme="minorEastAsia" w:hAnsiTheme="minorHAnsi" w:cstheme="minorBidi"/>
          <w:color w:val="auto"/>
          <w:kern w:val="2"/>
          <w:sz w:val="22"/>
          <w:szCs w:val="22"/>
          <w:lang w:eastAsia="en-GB"/>
          <w14:ligatures w14:val="standardContextual"/>
        </w:rPr>
      </w:pPr>
      <w:hyperlink w:anchor="_Toc163574931" w:history="1">
        <w:r w:rsidR="00886428" w:rsidRPr="00A161AC">
          <w:rPr>
            <w:rStyle w:val="Hyperlink"/>
            <w:rFonts w:eastAsia="MS Mincho"/>
          </w:rPr>
          <w:t>Annex A: ICB functional areas and supporting activities</w:t>
        </w:r>
        <w:r w:rsidR="00886428" w:rsidRPr="00A161AC">
          <w:rPr>
            <w:webHidden/>
          </w:rPr>
          <w:tab/>
        </w:r>
        <w:r w:rsidR="00886428" w:rsidRPr="00A161AC">
          <w:rPr>
            <w:webHidden/>
          </w:rPr>
          <w:fldChar w:fldCharType="begin"/>
        </w:r>
        <w:r w:rsidR="00886428" w:rsidRPr="00A161AC">
          <w:rPr>
            <w:webHidden/>
          </w:rPr>
          <w:instrText xml:space="preserve"> PAGEREF _Toc163574931 \h </w:instrText>
        </w:r>
        <w:r w:rsidR="00886428" w:rsidRPr="00A161AC">
          <w:rPr>
            <w:webHidden/>
          </w:rPr>
        </w:r>
        <w:r w:rsidR="00886428" w:rsidRPr="00A161AC">
          <w:rPr>
            <w:webHidden/>
          </w:rPr>
          <w:fldChar w:fldCharType="separate"/>
        </w:r>
        <w:r w:rsidR="00886428" w:rsidRPr="00A161AC">
          <w:rPr>
            <w:webHidden/>
          </w:rPr>
          <w:t>27</w:t>
        </w:r>
        <w:r w:rsidR="00886428" w:rsidRPr="00A161AC">
          <w:rPr>
            <w:webHidden/>
          </w:rPr>
          <w:fldChar w:fldCharType="end"/>
        </w:r>
      </w:hyperlink>
    </w:p>
    <w:p w14:paraId="62392A0A" w14:textId="59203BC5" w:rsidR="00886428" w:rsidRPr="00A161AC" w:rsidRDefault="000916D1">
      <w:pPr>
        <w:pStyle w:val="TOC1"/>
        <w:rPr>
          <w:rFonts w:asciiTheme="minorHAnsi" w:eastAsiaTheme="minorEastAsia" w:hAnsiTheme="minorHAnsi" w:cstheme="minorBidi"/>
          <w:color w:val="auto"/>
          <w:kern w:val="2"/>
          <w:sz w:val="22"/>
          <w:szCs w:val="22"/>
          <w:lang w:eastAsia="en-GB"/>
          <w14:ligatures w14:val="standardContextual"/>
        </w:rPr>
      </w:pPr>
      <w:hyperlink w:anchor="_Toc163574932" w:history="1">
        <w:r w:rsidR="00886428" w:rsidRPr="00A161AC">
          <w:rPr>
            <w:rStyle w:val="Hyperlink"/>
            <w:rFonts w:eastAsia="MS Mincho"/>
          </w:rPr>
          <w:t>Annex B: Proposed annual self-certifications for providers</w:t>
        </w:r>
        <w:r w:rsidR="00886428" w:rsidRPr="00A161AC">
          <w:rPr>
            <w:webHidden/>
          </w:rPr>
          <w:tab/>
        </w:r>
        <w:r w:rsidR="00886428" w:rsidRPr="00A161AC">
          <w:rPr>
            <w:webHidden/>
          </w:rPr>
          <w:fldChar w:fldCharType="begin"/>
        </w:r>
        <w:r w:rsidR="00886428" w:rsidRPr="00A161AC">
          <w:rPr>
            <w:webHidden/>
          </w:rPr>
          <w:instrText xml:space="preserve"> PAGEREF _Toc163574932 \h </w:instrText>
        </w:r>
        <w:r w:rsidR="00886428" w:rsidRPr="00A161AC">
          <w:rPr>
            <w:webHidden/>
          </w:rPr>
        </w:r>
        <w:r w:rsidR="00886428" w:rsidRPr="00A161AC">
          <w:rPr>
            <w:webHidden/>
          </w:rPr>
          <w:fldChar w:fldCharType="separate"/>
        </w:r>
        <w:r w:rsidR="00886428" w:rsidRPr="00A161AC">
          <w:rPr>
            <w:webHidden/>
          </w:rPr>
          <w:t>34</w:t>
        </w:r>
        <w:r w:rsidR="00886428" w:rsidRPr="00A161AC">
          <w:rPr>
            <w:webHidden/>
          </w:rPr>
          <w:fldChar w:fldCharType="end"/>
        </w:r>
      </w:hyperlink>
    </w:p>
    <w:p w14:paraId="460EA2D1" w14:textId="6CCEEDD0" w:rsidR="00886428" w:rsidRPr="00A161AC" w:rsidRDefault="000916D1">
      <w:pPr>
        <w:pStyle w:val="TOC1"/>
        <w:rPr>
          <w:rFonts w:asciiTheme="minorHAnsi" w:eastAsiaTheme="minorEastAsia" w:hAnsiTheme="minorHAnsi" w:cstheme="minorBidi"/>
          <w:color w:val="auto"/>
          <w:kern w:val="2"/>
          <w:sz w:val="22"/>
          <w:szCs w:val="22"/>
          <w:lang w:eastAsia="en-GB"/>
          <w14:ligatures w14:val="standardContextual"/>
        </w:rPr>
      </w:pPr>
      <w:hyperlink w:anchor="_Toc163574933" w:history="1">
        <w:r w:rsidR="00886428" w:rsidRPr="00A161AC">
          <w:rPr>
            <w:rStyle w:val="Hyperlink"/>
          </w:rPr>
          <w:t>Annex C: Recovery Support Programme</w:t>
        </w:r>
        <w:r w:rsidR="00886428" w:rsidRPr="00A161AC">
          <w:rPr>
            <w:webHidden/>
          </w:rPr>
          <w:tab/>
        </w:r>
        <w:r w:rsidR="00886428" w:rsidRPr="00A161AC">
          <w:rPr>
            <w:webHidden/>
          </w:rPr>
          <w:fldChar w:fldCharType="begin"/>
        </w:r>
        <w:r w:rsidR="00886428" w:rsidRPr="00A161AC">
          <w:rPr>
            <w:webHidden/>
          </w:rPr>
          <w:instrText xml:space="preserve"> PAGEREF _Toc163574933 \h </w:instrText>
        </w:r>
        <w:r w:rsidR="00886428" w:rsidRPr="00A161AC">
          <w:rPr>
            <w:webHidden/>
          </w:rPr>
        </w:r>
        <w:r w:rsidR="00886428" w:rsidRPr="00A161AC">
          <w:rPr>
            <w:webHidden/>
          </w:rPr>
          <w:fldChar w:fldCharType="separate"/>
        </w:r>
        <w:r w:rsidR="00886428" w:rsidRPr="00A161AC">
          <w:rPr>
            <w:webHidden/>
          </w:rPr>
          <w:t>35</w:t>
        </w:r>
        <w:r w:rsidR="00886428" w:rsidRPr="00A161AC">
          <w:rPr>
            <w:webHidden/>
          </w:rPr>
          <w:fldChar w:fldCharType="end"/>
        </w:r>
      </w:hyperlink>
    </w:p>
    <w:p w14:paraId="3A88F5F5" w14:textId="2497C7DC" w:rsidR="00886428" w:rsidRPr="00A161AC" w:rsidRDefault="000916D1">
      <w:pPr>
        <w:pStyle w:val="TOC1"/>
        <w:rPr>
          <w:rFonts w:asciiTheme="minorHAnsi" w:eastAsiaTheme="minorEastAsia" w:hAnsiTheme="minorHAnsi" w:cstheme="minorBidi"/>
          <w:color w:val="auto"/>
          <w:kern w:val="2"/>
          <w:sz w:val="22"/>
          <w:szCs w:val="22"/>
          <w:lang w:eastAsia="en-GB"/>
          <w14:ligatures w14:val="standardContextual"/>
        </w:rPr>
      </w:pPr>
      <w:hyperlink w:anchor="_Toc163574934" w:history="1">
        <w:r w:rsidR="00886428" w:rsidRPr="00A161AC">
          <w:rPr>
            <w:rStyle w:val="Hyperlink"/>
          </w:rPr>
          <w:t>Annex D: 2024/25 Oversight Framework delivery metrics</w:t>
        </w:r>
        <w:r w:rsidR="00886428" w:rsidRPr="00A161AC">
          <w:rPr>
            <w:webHidden/>
          </w:rPr>
          <w:tab/>
        </w:r>
        <w:r w:rsidR="00886428" w:rsidRPr="00A161AC">
          <w:rPr>
            <w:webHidden/>
          </w:rPr>
          <w:fldChar w:fldCharType="begin"/>
        </w:r>
        <w:r w:rsidR="00886428" w:rsidRPr="00A161AC">
          <w:rPr>
            <w:webHidden/>
          </w:rPr>
          <w:instrText xml:space="preserve"> PAGEREF _Toc163574934 \h </w:instrText>
        </w:r>
        <w:r w:rsidR="00886428" w:rsidRPr="00A161AC">
          <w:rPr>
            <w:webHidden/>
          </w:rPr>
        </w:r>
        <w:r w:rsidR="00886428" w:rsidRPr="00A161AC">
          <w:rPr>
            <w:webHidden/>
          </w:rPr>
          <w:fldChar w:fldCharType="separate"/>
        </w:r>
        <w:r w:rsidR="00886428" w:rsidRPr="00A161AC">
          <w:rPr>
            <w:webHidden/>
          </w:rPr>
          <w:t>39</w:t>
        </w:r>
        <w:r w:rsidR="00886428" w:rsidRPr="00A161AC">
          <w:rPr>
            <w:webHidden/>
          </w:rPr>
          <w:fldChar w:fldCharType="end"/>
        </w:r>
      </w:hyperlink>
    </w:p>
    <w:p w14:paraId="13D2C2DC" w14:textId="33507D2A" w:rsidR="00603A2C" w:rsidRPr="00A161AC" w:rsidRDefault="00355C51" w:rsidP="00447E51">
      <w:r w:rsidRPr="00A161AC">
        <w:rPr>
          <w:noProof/>
          <w:color w:val="231F20" w:themeColor="background1"/>
          <w:sz w:val="28"/>
        </w:rPr>
        <w:fldChar w:fldCharType="end"/>
      </w:r>
    </w:p>
    <w:p w14:paraId="178A2254" w14:textId="77777777" w:rsidR="00F126B3" w:rsidRPr="00A161AC" w:rsidRDefault="00F126B3" w:rsidP="00F126B3"/>
    <w:p w14:paraId="2953B108" w14:textId="77777777" w:rsidR="00F126B3" w:rsidRPr="00A161AC" w:rsidRDefault="00F126B3" w:rsidP="00F126B3">
      <w:pPr>
        <w:sectPr w:rsidR="00F126B3" w:rsidRPr="00A161AC" w:rsidSect="006E32A3">
          <w:headerReference w:type="even" r:id="rId20"/>
          <w:headerReference w:type="default" r:id="rId21"/>
          <w:headerReference w:type="first" r:id="rId22"/>
          <w:footerReference w:type="first" r:id="rId23"/>
          <w:pgSz w:w="11906" w:h="16838"/>
          <w:pgMar w:top="1021" w:right="1021" w:bottom="1021" w:left="1021" w:header="454" w:footer="556" w:gutter="0"/>
          <w:cols w:space="708"/>
          <w:docGrid w:linePitch="360"/>
        </w:sectPr>
      </w:pPr>
    </w:p>
    <w:p w14:paraId="507DB16B" w14:textId="77777777" w:rsidR="00EC0EB2" w:rsidRPr="00A161AC" w:rsidRDefault="00EC0EB2" w:rsidP="00EC0EB2">
      <w:pPr>
        <w:pStyle w:val="h2numbered"/>
      </w:pPr>
      <w:bookmarkStart w:id="1" w:name="_Toc160636202"/>
      <w:bookmarkStart w:id="2" w:name="_Toc163574917"/>
      <w:r w:rsidRPr="00A161AC">
        <w:lastRenderedPageBreak/>
        <w:t>Introduction</w:t>
      </w:r>
      <w:bookmarkEnd w:id="1"/>
      <w:bookmarkEnd w:id="2"/>
    </w:p>
    <w:p w14:paraId="010C25AD" w14:textId="7A1879D8" w:rsidR="00EC0EB2" w:rsidRPr="00A161AC" w:rsidRDefault="00EC0EB2" w:rsidP="00E07BA7">
      <w:pPr>
        <w:pStyle w:val="Numberedlist"/>
        <w:spacing w:after="0"/>
        <w:ind w:left="714" w:hanging="357"/>
      </w:pPr>
      <w:r w:rsidRPr="00A161AC">
        <w:t xml:space="preserve">The NHS England </w:t>
      </w:r>
      <w:hyperlink r:id="rId24" w:history="1">
        <w:r w:rsidR="00BA19F0" w:rsidRPr="00A161AC">
          <w:rPr>
            <w:rStyle w:val="Hyperlink"/>
            <w:rFonts w:ascii="Arial" w:hAnsi="Arial"/>
          </w:rPr>
          <w:t>o</w:t>
        </w:r>
        <w:r w:rsidRPr="00A161AC">
          <w:rPr>
            <w:rStyle w:val="Hyperlink"/>
            <w:rFonts w:ascii="Arial" w:hAnsi="Arial"/>
          </w:rPr>
          <w:t xml:space="preserve">perating </w:t>
        </w:r>
        <w:r w:rsidR="00BA19F0" w:rsidRPr="00A161AC">
          <w:rPr>
            <w:rStyle w:val="Hyperlink"/>
            <w:rFonts w:ascii="Arial" w:hAnsi="Arial"/>
          </w:rPr>
          <w:t>f</w:t>
        </w:r>
        <w:r w:rsidRPr="00A161AC">
          <w:rPr>
            <w:rStyle w:val="Hyperlink"/>
            <w:rFonts w:ascii="Arial" w:hAnsi="Arial"/>
          </w:rPr>
          <w:t>ramework</w:t>
        </w:r>
      </w:hyperlink>
      <w:r w:rsidRPr="00A161AC">
        <w:t xml:space="preserve"> published in October 2022 sets out how our ways of working have evolved to reflect the development of </w:t>
      </w:r>
      <w:r w:rsidR="00BA19F0" w:rsidRPr="00A161AC">
        <w:t>i</w:t>
      </w:r>
      <w:r w:rsidRPr="00A161AC">
        <w:t xml:space="preserve">ntegrated </w:t>
      </w:r>
      <w:r w:rsidR="00BA19F0" w:rsidRPr="00A161AC">
        <w:t>c</w:t>
      </w:r>
      <w:r w:rsidRPr="00A161AC">
        <w:t xml:space="preserve">are </w:t>
      </w:r>
      <w:r w:rsidR="00BA19F0" w:rsidRPr="00A161AC">
        <w:t>s</w:t>
      </w:r>
      <w:r w:rsidRPr="00A161AC">
        <w:t xml:space="preserve">ystems (ICSs). It describes how NHS England works with </w:t>
      </w:r>
      <w:r w:rsidR="00BA19F0" w:rsidRPr="00A161AC">
        <w:t>i</w:t>
      </w:r>
      <w:r w:rsidRPr="00A161AC">
        <w:t xml:space="preserve">ntegrated </w:t>
      </w:r>
      <w:r w:rsidR="00BA19F0" w:rsidRPr="00A161AC">
        <w:t>c</w:t>
      </w:r>
      <w:r w:rsidRPr="00A161AC">
        <w:t xml:space="preserve">are </w:t>
      </w:r>
      <w:r w:rsidR="00BA19F0" w:rsidRPr="00A161AC">
        <w:t>b</w:t>
      </w:r>
      <w:r w:rsidRPr="00A161AC">
        <w:t>oards (ICBs), providers, and wider system partners to improve local health and care outcomes and maximise value for taxpayer money.</w:t>
      </w:r>
    </w:p>
    <w:p w14:paraId="4A0DFC1E" w14:textId="77777777" w:rsidR="00EC0EB2" w:rsidRPr="00A161AC" w:rsidRDefault="00EC0EB2" w:rsidP="00E07BA7">
      <w:pPr>
        <w:pStyle w:val="Numberedlist"/>
        <w:numPr>
          <w:ilvl w:val="0"/>
          <w:numId w:val="0"/>
        </w:numPr>
        <w:spacing w:after="0"/>
        <w:ind w:left="567"/>
      </w:pPr>
    </w:p>
    <w:p w14:paraId="158DF36D" w14:textId="6FB49FB3" w:rsidR="00EC0EB2" w:rsidRPr="00A161AC" w:rsidRDefault="00EC0EB2" w:rsidP="00E07BA7">
      <w:pPr>
        <w:pStyle w:val="Numberedlist"/>
        <w:spacing w:after="0"/>
        <w:ind w:left="714" w:hanging="357"/>
      </w:pPr>
      <w:r w:rsidRPr="00A161AC">
        <w:t xml:space="preserve">Detailing our approach to NHS oversight and assessment is critical </w:t>
      </w:r>
      <w:r w:rsidR="00BD4E15" w:rsidRPr="00A161AC">
        <w:t xml:space="preserve">to the implementation </w:t>
      </w:r>
      <w:r w:rsidR="001E7BB7" w:rsidRPr="00A161AC">
        <w:t xml:space="preserve">of </w:t>
      </w:r>
      <w:r w:rsidRPr="00A161AC">
        <w:t>our operating framework building on our commitment to support ICBs to achieve full maturity.</w:t>
      </w:r>
      <w:r w:rsidR="00880B11" w:rsidRPr="00A161AC">
        <w:t xml:space="preserve"> </w:t>
      </w:r>
      <w:r w:rsidR="00AB55AB" w:rsidRPr="00A161AC">
        <w:t xml:space="preserve">Following the coming-together of NHS England and NHS Improvement we published our first System Oversight Framework in </w:t>
      </w:r>
      <w:r w:rsidR="005948C3" w:rsidRPr="00A161AC">
        <w:t xml:space="preserve">September </w:t>
      </w:r>
      <w:r w:rsidR="00466712" w:rsidRPr="00A161AC">
        <w:t>2021</w:t>
      </w:r>
      <w:r w:rsidR="00813A7D" w:rsidRPr="00A161AC">
        <w:t xml:space="preserve">. This was </w:t>
      </w:r>
      <w:r w:rsidR="00AD3F91" w:rsidRPr="00A161AC">
        <w:t>replace</w:t>
      </w:r>
      <w:r w:rsidR="00813A7D" w:rsidRPr="00A161AC">
        <w:t>d by an updated NHS Oversight Framework published in July 2022 to coincide with the establ</w:t>
      </w:r>
      <w:r w:rsidR="00AD3F91" w:rsidRPr="00A161AC">
        <w:t xml:space="preserve">ishment of </w:t>
      </w:r>
      <w:r w:rsidR="00D4635F" w:rsidRPr="00A161AC">
        <w:t>ICBs</w:t>
      </w:r>
      <w:r w:rsidR="00AD3F91" w:rsidRPr="00A161AC">
        <w:t>.</w:t>
      </w:r>
    </w:p>
    <w:p w14:paraId="01C06A74" w14:textId="77777777" w:rsidR="00EC0EB2" w:rsidRPr="00A161AC" w:rsidRDefault="00EC0EB2" w:rsidP="00E07BA7">
      <w:pPr>
        <w:pStyle w:val="Numberedlist"/>
        <w:numPr>
          <w:ilvl w:val="0"/>
          <w:numId w:val="0"/>
        </w:numPr>
        <w:spacing w:after="0"/>
      </w:pPr>
    </w:p>
    <w:p w14:paraId="4DC08D0D" w14:textId="131CCA45" w:rsidR="00EC0EB2" w:rsidRPr="00A161AC" w:rsidRDefault="0025552F" w:rsidP="00E07BA7">
      <w:pPr>
        <w:pStyle w:val="Numberedlist"/>
        <w:spacing w:after="0"/>
        <w:ind w:left="714" w:hanging="357"/>
      </w:pPr>
      <w:r>
        <w:t>We committed to work with</w:t>
      </w:r>
      <w:r w:rsidR="00C52800">
        <w:t xml:space="preserve"> ICBs to</w:t>
      </w:r>
      <w:r w:rsidR="006D1788">
        <w:t xml:space="preserve"> update the NHS Oversight Framework</w:t>
      </w:r>
      <w:r w:rsidR="005F6C02">
        <w:t xml:space="preserve"> to</w:t>
      </w:r>
      <w:r w:rsidR="00C52800">
        <w:t xml:space="preserve"> ensure that oversight and performance arrangements are streamlined</w:t>
      </w:r>
      <w:r w:rsidR="005F6C02">
        <w:t xml:space="preserve">. This </w:t>
      </w:r>
      <w:r w:rsidR="00EC0EB2">
        <w:t xml:space="preserve">NHS Oversight and Assessment Framework </w:t>
      </w:r>
      <w:r w:rsidR="00702C8C">
        <w:t>is the result of that work</w:t>
      </w:r>
      <w:r w:rsidR="00EC0EB2">
        <w:t xml:space="preserve">. It builds on </w:t>
      </w:r>
      <w:r w:rsidR="0000500B">
        <w:t xml:space="preserve">our previous NHS Oversight Framework and </w:t>
      </w:r>
      <w:r w:rsidR="00EC0EB2">
        <w:t xml:space="preserve">the foundations set out in our </w:t>
      </w:r>
      <w:r w:rsidR="00FE1F7A">
        <w:t>o</w:t>
      </w:r>
      <w:r w:rsidR="00EC0EB2">
        <w:t xml:space="preserve">perating </w:t>
      </w:r>
      <w:r w:rsidR="00FE1F7A">
        <w:t>f</w:t>
      </w:r>
      <w:r w:rsidR="00EC0EB2">
        <w:t>ramework</w:t>
      </w:r>
      <w:r w:rsidR="008E5CB1">
        <w:t xml:space="preserve"> </w:t>
      </w:r>
      <w:r w:rsidR="0000500B">
        <w:t>r</w:t>
      </w:r>
      <w:r w:rsidR="00EC0EB2">
        <w:t>einfor</w:t>
      </w:r>
      <w:r w:rsidR="0000500B">
        <w:t>cing</w:t>
      </w:r>
      <w:r w:rsidR="00EC0EB2">
        <w:t xml:space="preserve"> </w:t>
      </w:r>
      <w:r w:rsidR="008E5CB1">
        <w:t xml:space="preserve">our </w:t>
      </w:r>
      <w:r w:rsidR="00EC0EB2">
        <w:t xml:space="preserve">ambition for </w:t>
      </w:r>
      <w:r w:rsidR="008E5CB1">
        <w:t xml:space="preserve">a </w:t>
      </w:r>
      <w:r w:rsidR="00EC0EB2">
        <w:t xml:space="preserve">system-led </w:t>
      </w:r>
      <w:r w:rsidR="008E5CB1">
        <w:t>approach to</w:t>
      </w:r>
      <w:r w:rsidR="00EC0EB2">
        <w:t xml:space="preserve"> integrated care established in the </w:t>
      </w:r>
      <w:hyperlink r:id="rId25">
        <w:r w:rsidR="00EC0EB2" w:rsidRPr="29B6EFE6">
          <w:rPr>
            <w:rStyle w:val="Hyperlink"/>
            <w:rFonts w:ascii="Arial" w:hAnsi="Arial"/>
          </w:rPr>
          <w:t>NHS Long Term Plan</w:t>
        </w:r>
      </w:hyperlink>
      <w:r w:rsidR="00EC0EB2">
        <w:t xml:space="preserve"> and put on a statutory footing in the Health and Care Act 2022.</w:t>
      </w:r>
      <w:r w:rsidR="00B64662">
        <w:t xml:space="preserve"> The </w:t>
      </w:r>
      <w:r w:rsidR="00145BF1">
        <w:t>framework highlights the importance of all partners</w:t>
      </w:r>
      <w:r w:rsidR="00987592">
        <w:t xml:space="preserve"> playing their part</w:t>
      </w:r>
      <w:r w:rsidR="00145BF1">
        <w:t xml:space="preserve"> in </w:t>
      </w:r>
      <w:r w:rsidR="00217C64">
        <w:t>mutually successful</w:t>
      </w:r>
      <w:r w:rsidR="00145BF1">
        <w:t xml:space="preserve"> </w:t>
      </w:r>
      <w:r w:rsidR="00987592">
        <w:t>systems</w:t>
      </w:r>
      <w:r w:rsidR="00145BF1">
        <w:t xml:space="preserve"> as well as </w:t>
      </w:r>
      <w:r w:rsidR="00987592">
        <w:t xml:space="preserve">balancing the need to deliver against immediate priorities and </w:t>
      </w:r>
      <w:r w:rsidR="0731FBB7">
        <w:t>longer-term</w:t>
      </w:r>
      <w:r w:rsidR="00987592">
        <w:t xml:space="preserve"> sustainable improvement.</w:t>
      </w:r>
      <w:r w:rsidR="00EC0EB2">
        <w:t xml:space="preserve"> Our approach ensures that we:</w:t>
      </w:r>
    </w:p>
    <w:p w14:paraId="6EF00C4E" w14:textId="084B8E81" w:rsidR="00EC0EB2" w:rsidRPr="00A161AC" w:rsidRDefault="00EC1982" w:rsidP="00E07BA7">
      <w:pPr>
        <w:pStyle w:val="Numberedlist"/>
        <w:numPr>
          <w:ilvl w:val="4"/>
          <w:numId w:val="2"/>
        </w:numPr>
        <w:spacing w:after="0"/>
        <w:ind w:left="1775" w:hanging="357"/>
      </w:pPr>
      <w:r w:rsidRPr="00A161AC">
        <w:t xml:space="preserve">have </w:t>
      </w:r>
      <w:r w:rsidR="00EC0EB2" w:rsidRPr="00A161AC">
        <w:t xml:space="preserve">a </w:t>
      </w:r>
      <w:r w:rsidR="00BC3A31" w:rsidRPr="00A161AC">
        <w:t>robust pro</w:t>
      </w:r>
      <w:r w:rsidR="00E6610F" w:rsidRPr="00A161AC">
        <w:t>cess</w:t>
      </w:r>
      <w:r w:rsidR="00BC3A31" w:rsidRPr="00A161AC">
        <w:t xml:space="preserve"> of oversight and accountability that </w:t>
      </w:r>
      <w:r w:rsidR="00E6610F" w:rsidRPr="00A161AC">
        <w:t xml:space="preserve">rewards improvement and brings </w:t>
      </w:r>
      <w:r w:rsidR="00D5608F" w:rsidRPr="00A161AC">
        <w:t>all parts of the NHS system together around common goals</w:t>
      </w:r>
    </w:p>
    <w:p w14:paraId="0A15025A" w14:textId="460782B9" w:rsidR="00EC0EB2" w:rsidRPr="00A161AC" w:rsidRDefault="00EC1982" w:rsidP="00E07BA7">
      <w:pPr>
        <w:pStyle w:val="Numberedlist"/>
        <w:numPr>
          <w:ilvl w:val="4"/>
          <w:numId w:val="2"/>
        </w:numPr>
        <w:spacing w:after="0"/>
        <w:ind w:left="1775" w:hanging="357"/>
      </w:pPr>
      <w:r w:rsidRPr="00A161AC">
        <w:t xml:space="preserve">have </w:t>
      </w:r>
      <w:r w:rsidR="00D5608F" w:rsidRPr="00A161AC">
        <w:t xml:space="preserve">a clear </w:t>
      </w:r>
      <w:r w:rsidR="00E76F92" w:rsidRPr="00A161AC">
        <w:t>approach</w:t>
      </w:r>
      <w:r w:rsidR="00B15822" w:rsidRPr="00A161AC">
        <w:t xml:space="preserve"> to develop</w:t>
      </w:r>
      <w:r w:rsidR="00E76F92" w:rsidRPr="00A161AC">
        <w:t>ing</w:t>
      </w:r>
      <w:r w:rsidR="00B15822" w:rsidRPr="00A161AC">
        <w:t xml:space="preserve"> leadership capability in line with the findings of the Messenger Review</w:t>
      </w:r>
      <w:r w:rsidR="004D78E0" w:rsidRPr="00A161AC">
        <w:t xml:space="preserve">, giving leaders the tools they need and the competency </w:t>
      </w:r>
      <w:r w:rsidR="00E76F92" w:rsidRPr="00A161AC">
        <w:t>to drive change</w:t>
      </w:r>
    </w:p>
    <w:p w14:paraId="6307ED77" w14:textId="78361627" w:rsidR="00EC0EB2" w:rsidRPr="00A161AC" w:rsidRDefault="00EC1982" w:rsidP="00E07BA7">
      <w:pPr>
        <w:pStyle w:val="Numberedlist"/>
        <w:numPr>
          <w:ilvl w:val="4"/>
          <w:numId w:val="2"/>
        </w:numPr>
        <w:spacing w:after="0"/>
        <w:ind w:left="1775" w:hanging="357"/>
      </w:pPr>
      <w:r w:rsidRPr="00A161AC">
        <w:t>c</w:t>
      </w:r>
      <w:r w:rsidR="00EC0EB2" w:rsidRPr="00A161AC">
        <w:t>an expla</w:t>
      </w:r>
      <w:r w:rsidR="0006583A" w:rsidRPr="00A161AC">
        <w:t xml:space="preserve">in </w:t>
      </w:r>
      <w:r w:rsidR="00EC0EB2" w:rsidRPr="00A161AC">
        <w:t xml:space="preserve">how </w:t>
      </w:r>
      <w:r w:rsidR="003245AA" w:rsidRPr="00A161AC">
        <w:t xml:space="preserve">improvement will be delivered </w:t>
      </w:r>
      <w:r w:rsidR="00875747" w:rsidRPr="00A161AC">
        <w:t xml:space="preserve">through the principles established as part of NHS IMPACT and NHS England’s </w:t>
      </w:r>
      <w:r w:rsidR="00A32E6E" w:rsidRPr="00A161AC">
        <w:t>support offer</w:t>
      </w:r>
      <w:r w:rsidR="00EC0EB2" w:rsidRPr="00A161AC">
        <w:t>. </w:t>
      </w:r>
    </w:p>
    <w:p w14:paraId="422DE5F7" w14:textId="77777777" w:rsidR="00EC0EB2" w:rsidRPr="00A161AC" w:rsidRDefault="00EC0EB2" w:rsidP="00E07BA7">
      <w:pPr>
        <w:pStyle w:val="Numberedlist"/>
        <w:numPr>
          <w:ilvl w:val="0"/>
          <w:numId w:val="0"/>
        </w:numPr>
        <w:spacing w:after="0"/>
      </w:pPr>
    </w:p>
    <w:p w14:paraId="326E2B76" w14:textId="0A744314" w:rsidR="00C2275A" w:rsidRPr="00A161AC" w:rsidRDefault="00EC0EB2" w:rsidP="00713E6B">
      <w:pPr>
        <w:pStyle w:val="Numberedlist"/>
        <w:spacing w:after="0"/>
        <w:ind w:left="714" w:hanging="357"/>
      </w:pPr>
      <w:r w:rsidRPr="00A161AC">
        <w:t>The framework</w:t>
      </w:r>
      <w:r w:rsidR="009840D4" w:rsidRPr="00A161AC">
        <w:t xml:space="preserve"> </w:t>
      </w:r>
      <w:r w:rsidR="00222AF3" w:rsidRPr="00A161AC">
        <w:t>applies</w:t>
      </w:r>
      <w:r w:rsidR="009840D4" w:rsidRPr="00A161AC">
        <w:t xml:space="preserve"> to ICBs </w:t>
      </w:r>
      <w:r w:rsidR="00222AF3" w:rsidRPr="00A161AC">
        <w:t xml:space="preserve">and </w:t>
      </w:r>
      <w:r w:rsidR="00F11B76" w:rsidRPr="00A161AC">
        <w:t>providers</w:t>
      </w:r>
      <w:r w:rsidR="00F11B76" w:rsidRPr="00A161AC">
        <w:rPr>
          <w:rStyle w:val="FootnoteReference"/>
        </w:rPr>
        <w:footnoteReference w:id="2"/>
      </w:r>
      <w:r w:rsidR="00222AF3" w:rsidRPr="00A161AC">
        <w:t xml:space="preserve"> and it</w:t>
      </w:r>
      <w:r w:rsidRPr="00A161AC">
        <w:t xml:space="preserve"> supports NHS system</w:t>
      </w:r>
      <w:r w:rsidRPr="00A161AC">
        <w:rPr>
          <w:rStyle w:val="FootnoteReference"/>
        </w:rPr>
        <w:footnoteReference w:id="3"/>
      </w:r>
      <w:r w:rsidRPr="00A161AC">
        <w:t xml:space="preserve"> partners to develop approaches to oversight that reflect:</w:t>
      </w:r>
    </w:p>
    <w:p w14:paraId="19C6F9F0" w14:textId="501BA5E3" w:rsidR="00C2275A" w:rsidRPr="00A161AC" w:rsidRDefault="00EC0EB2" w:rsidP="00AB4B85">
      <w:pPr>
        <w:pStyle w:val="Numberedlist"/>
        <w:numPr>
          <w:ilvl w:val="0"/>
          <w:numId w:val="28"/>
        </w:numPr>
        <w:spacing w:after="0"/>
        <w:ind w:left="1775" w:hanging="357"/>
      </w:pPr>
      <w:r w:rsidRPr="00A161AC">
        <w:lastRenderedPageBreak/>
        <w:t xml:space="preserve">a shared understanding of the accountabilities and roles between each member of the NHS system, how performance is monitored, and how support or intervention needs are identified and addressed; </w:t>
      </w:r>
    </w:p>
    <w:p w14:paraId="482734DB" w14:textId="217E4043" w:rsidR="00F527B5" w:rsidRPr="00A161AC" w:rsidRDefault="00EC0EB2" w:rsidP="00AB4B85">
      <w:pPr>
        <w:pStyle w:val="Numberedlist"/>
        <w:numPr>
          <w:ilvl w:val="0"/>
          <w:numId w:val="28"/>
        </w:numPr>
        <w:spacing w:after="0"/>
        <w:ind w:left="1775" w:hanging="357"/>
      </w:pPr>
      <w:r w:rsidRPr="00A161AC">
        <w:t>the importance of delivery against both individual and shared system prioritie</w:t>
      </w:r>
      <w:r w:rsidR="002C6DBD" w:rsidRPr="00A161AC">
        <w:t>s</w:t>
      </w:r>
    </w:p>
    <w:p w14:paraId="50DDA933" w14:textId="77777777" w:rsidR="00EC0EB2" w:rsidRPr="00A161AC" w:rsidRDefault="00EC0EB2" w:rsidP="00EC0EB2">
      <w:pPr>
        <w:pStyle w:val="h2numbered"/>
      </w:pPr>
      <w:bookmarkStart w:id="3" w:name="_Toc160636203"/>
      <w:bookmarkStart w:id="4" w:name="_Toc163574918"/>
      <w:r w:rsidRPr="00A161AC">
        <w:t>Purpose and principles</w:t>
      </w:r>
      <w:bookmarkEnd w:id="3"/>
      <w:bookmarkEnd w:id="4"/>
    </w:p>
    <w:p w14:paraId="62B0F127" w14:textId="0B5CC508" w:rsidR="00EC0EB2" w:rsidRPr="00A161AC" w:rsidRDefault="00EC0EB2" w:rsidP="00E07BA7">
      <w:pPr>
        <w:pStyle w:val="Numberedlist"/>
        <w:spacing w:after="0"/>
        <w:ind w:left="714" w:hanging="357"/>
      </w:pPr>
      <w:r w:rsidRPr="00A161AC">
        <w:t xml:space="preserve">This framework </w:t>
      </w:r>
      <w:r w:rsidR="00D11A0C" w:rsidRPr="00A161AC">
        <w:t xml:space="preserve">is designed to enable </w:t>
      </w:r>
      <w:r w:rsidR="00E81474" w:rsidRPr="00A161AC">
        <w:t xml:space="preserve">local system partners to lead effectively and </w:t>
      </w:r>
      <w:r w:rsidR="0097493A" w:rsidRPr="00A161AC">
        <w:t xml:space="preserve">transform care within their locality. </w:t>
      </w:r>
      <w:r w:rsidR="0005342B" w:rsidRPr="00A161AC">
        <w:t xml:space="preserve">It </w:t>
      </w:r>
      <w:r w:rsidRPr="00A161AC">
        <w:t xml:space="preserve">sets out the processes by which </w:t>
      </w:r>
      <w:r w:rsidR="000802CD" w:rsidRPr="00A161AC">
        <w:t>positive changes are supported</w:t>
      </w:r>
      <w:r w:rsidR="00EB5EEF" w:rsidRPr="00A161AC">
        <w:t xml:space="preserve"> to thrive and </w:t>
      </w:r>
      <w:r w:rsidR="00B6763D" w:rsidRPr="00A161AC">
        <w:t>challenges to driving improvement</w:t>
      </w:r>
      <w:r w:rsidRPr="00A161AC">
        <w:t xml:space="preserve"> are quickly identified</w:t>
      </w:r>
      <w:r w:rsidR="00EB5EEF" w:rsidRPr="00A161AC">
        <w:t>,</w:t>
      </w:r>
      <w:r w:rsidR="0013030B" w:rsidRPr="00A161AC">
        <w:t xml:space="preserve"> </w:t>
      </w:r>
      <w:r w:rsidRPr="00A161AC">
        <w:t>diagnosed</w:t>
      </w:r>
      <w:r w:rsidR="00B6763D" w:rsidRPr="00A161AC">
        <w:t xml:space="preserve"> </w:t>
      </w:r>
      <w:r w:rsidR="0013030B" w:rsidRPr="00A161AC">
        <w:t xml:space="preserve">and responded to </w:t>
      </w:r>
      <w:r w:rsidR="00B6763D" w:rsidRPr="00A161AC">
        <w:t>together</w:t>
      </w:r>
      <w:r w:rsidRPr="00A161AC">
        <w:t xml:space="preserve">. It serves </w:t>
      </w:r>
      <w:r w:rsidR="0013030B" w:rsidRPr="00A161AC">
        <w:t xml:space="preserve">four </w:t>
      </w:r>
      <w:r w:rsidRPr="00A161AC">
        <w:t>core purposes:</w:t>
      </w:r>
    </w:p>
    <w:p w14:paraId="58606E15" w14:textId="64E12D45" w:rsidR="00240C64" w:rsidRPr="00A161AC" w:rsidRDefault="00440A9B" w:rsidP="00E07BA7">
      <w:pPr>
        <w:pStyle w:val="Numberedlist"/>
        <w:numPr>
          <w:ilvl w:val="4"/>
          <w:numId w:val="2"/>
        </w:numPr>
        <w:spacing w:after="0"/>
        <w:ind w:left="1775" w:hanging="357"/>
      </w:pPr>
      <w:r w:rsidRPr="00A161AC">
        <w:t>t</w:t>
      </w:r>
      <w:r w:rsidR="00240C64" w:rsidRPr="00A161AC">
        <w:t>o align priorities across the NHS and with wider system partners to drive shared ownership of improvement</w:t>
      </w:r>
    </w:p>
    <w:p w14:paraId="1809E358" w14:textId="6CC9837F" w:rsidR="0013030B" w:rsidRPr="00A161AC" w:rsidRDefault="00440A9B" w:rsidP="00E07BA7">
      <w:pPr>
        <w:pStyle w:val="Numberedlist"/>
        <w:numPr>
          <w:ilvl w:val="4"/>
          <w:numId w:val="2"/>
        </w:numPr>
        <w:spacing w:after="0"/>
        <w:ind w:left="1775" w:hanging="357"/>
      </w:pPr>
      <w:r w:rsidRPr="00A161AC">
        <w:t>t</w:t>
      </w:r>
      <w:r w:rsidR="0013030B" w:rsidRPr="00A161AC">
        <w:t xml:space="preserve">o </w:t>
      </w:r>
      <w:r w:rsidR="00240C64" w:rsidRPr="00A161AC">
        <w:t>enable good practice to flourish and be shared to support mutual improvement</w:t>
      </w:r>
    </w:p>
    <w:p w14:paraId="39204706" w14:textId="31B251C2" w:rsidR="00EC0EB2" w:rsidRPr="00A161AC" w:rsidRDefault="00440A9B" w:rsidP="00E07BA7">
      <w:pPr>
        <w:pStyle w:val="Numberedlist"/>
        <w:numPr>
          <w:ilvl w:val="4"/>
          <w:numId w:val="2"/>
        </w:numPr>
        <w:spacing w:after="0"/>
        <w:ind w:left="1775" w:hanging="357"/>
      </w:pPr>
      <w:r w:rsidRPr="00A161AC">
        <w:t>t</w:t>
      </w:r>
      <w:r w:rsidR="00EC0EB2" w:rsidRPr="00A161AC">
        <w:t>o identify where ICBs and/or providers may benefit from or require support or intervention</w:t>
      </w:r>
    </w:p>
    <w:p w14:paraId="2296C1BF" w14:textId="6F646E9C" w:rsidR="00EC0EB2" w:rsidRPr="00A161AC" w:rsidRDefault="006777ED" w:rsidP="00E07BA7">
      <w:pPr>
        <w:pStyle w:val="Numberedlist"/>
        <w:numPr>
          <w:ilvl w:val="4"/>
          <w:numId w:val="2"/>
        </w:numPr>
        <w:spacing w:after="0"/>
        <w:ind w:left="1775" w:hanging="357"/>
      </w:pPr>
      <w:r w:rsidRPr="00A161AC">
        <w:t>t</w:t>
      </w:r>
      <w:r w:rsidR="00EC0EB2" w:rsidRPr="00A161AC">
        <w:t>o provide an objective basis for decisions about when and how we may intervene using our regulatory powers</w:t>
      </w:r>
      <w:r w:rsidR="00C76857" w:rsidRPr="00A161AC">
        <w:t xml:space="preserve"> should this be necessary</w:t>
      </w:r>
    </w:p>
    <w:p w14:paraId="0C938C57" w14:textId="77777777" w:rsidR="00EC0EB2" w:rsidRPr="00A161AC" w:rsidRDefault="00EC0EB2" w:rsidP="00E07BA7">
      <w:pPr>
        <w:pStyle w:val="Numberedlist"/>
        <w:numPr>
          <w:ilvl w:val="0"/>
          <w:numId w:val="0"/>
        </w:numPr>
        <w:spacing w:after="0"/>
        <w:ind w:left="1899"/>
      </w:pPr>
    </w:p>
    <w:p w14:paraId="137B91D1" w14:textId="77777777" w:rsidR="00EC0EB2" w:rsidRPr="00A161AC" w:rsidRDefault="00EC0EB2" w:rsidP="00E07BA7">
      <w:pPr>
        <w:pStyle w:val="Numberedlist"/>
        <w:spacing w:after="0"/>
      </w:pPr>
      <w:r w:rsidRPr="00A161AC">
        <w:t>The approach to oversight is characterised by the following key principles:</w:t>
      </w:r>
    </w:p>
    <w:p w14:paraId="0695B8D9" w14:textId="1DE352DF" w:rsidR="00EC0EB2" w:rsidRPr="00A161AC" w:rsidRDefault="006777ED" w:rsidP="00C41558">
      <w:pPr>
        <w:pStyle w:val="Numberedlist"/>
        <w:numPr>
          <w:ilvl w:val="4"/>
          <w:numId w:val="2"/>
        </w:numPr>
        <w:spacing w:after="0"/>
        <w:ind w:left="1775" w:hanging="357"/>
      </w:pPr>
      <w:r w:rsidRPr="00A161AC">
        <w:t>c</w:t>
      </w:r>
      <w:r w:rsidR="00EC0EB2" w:rsidRPr="00A161AC">
        <w:t xml:space="preserve">ompassionate leadership behaviours that underpin all interactions, informed by the leadership behaviours set out in our </w:t>
      </w:r>
      <w:r w:rsidR="00490A62" w:rsidRPr="00A161AC">
        <w:t>o</w:t>
      </w:r>
      <w:r w:rsidR="00EC0EB2" w:rsidRPr="00A161AC">
        <w:t xml:space="preserve">perating </w:t>
      </w:r>
      <w:r w:rsidR="00490A62" w:rsidRPr="00A161AC">
        <w:t>f</w:t>
      </w:r>
      <w:r w:rsidR="00EC0EB2" w:rsidRPr="00A161AC">
        <w:t xml:space="preserve">ramework </w:t>
      </w:r>
      <w:r w:rsidR="00C41558" w:rsidRPr="00A161AC">
        <w:t>(</w:t>
      </w:r>
      <w:r w:rsidR="00EC0EB2" w:rsidRPr="00A161AC">
        <w:t>se</w:t>
      </w:r>
      <w:r w:rsidR="00490A62" w:rsidRPr="00A161AC">
        <w:t>e</w:t>
      </w:r>
      <w:r w:rsidR="00EC0EB2" w:rsidRPr="00A161AC">
        <w:t xml:space="preserve"> Figure </w:t>
      </w:r>
      <w:r w:rsidR="004A446E" w:rsidRPr="00A161AC">
        <w:t>1</w:t>
      </w:r>
      <w:r w:rsidR="00C41558" w:rsidRPr="00A161AC">
        <w:t>)</w:t>
      </w:r>
    </w:p>
    <w:p w14:paraId="38E11FF8" w14:textId="57069DAF" w:rsidR="00EC0EB2" w:rsidRPr="00A161AC" w:rsidRDefault="006777ED" w:rsidP="00C41558">
      <w:pPr>
        <w:pStyle w:val="Numberedlist"/>
        <w:numPr>
          <w:ilvl w:val="4"/>
          <w:numId w:val="2"/>
        </w:numPr>
        <w:spacing w:after="0"/>
        <w:ind w:left="1775" w:hanging="357"/>
      </w:pPr>
      <w:r w:rsidRPr="00A161AC">
        <w:t>b</w:t>
      </w:r>
      <w:r w:rsidR="00EC0EB2" w:rsidRPr="00A161AC">
        <w:t>alancing the contributions of individual organisations with shared system performance and outcomes</w:t>
      </w:r>
    </w:p>
    <w:p w14:paraId="2F943D58" w14:textId="7A039896" w:rsidR="00EC0EB2" w:rsidRPr="00A161AC" w:rsidRDefault="006777ED" w:rsidP="00C41558">
      <w:pPr>
        <w:pStyle w:val="Numberedlist"/>
        <w:numPr>
          <w:ilvl w:val="4"/>
          <w:numId w:val="2"/>
        </w:numPr>
        <w:spacing w:after="0"/>
        <w:ind w:left="1775" w:hanging="357"/>
      </w:pPr>
      <w:r w:rsidRPr="00A161AC">
        <w:t>w</w:t>
      </w:r>
      <w:r w:rsidR="00EC0EB2" w:rsidRPr="00A161AC">
        <w:t>orking in partnership with ICBs to discharge our respective responsibilities</w:t>
      </w:r>
    </w:p>
    <w:p w14:paraId="6502210C" w14:textId="0814FF63" w:rsidR="00EC0EB2" w:rsidRPr="00A161AC" w:rsidRDefault="0042328B" w:rsidP="00C41558">
      <w:pPr>
        <w:pStyle w:val="Numberedlist"/>
        <w:numPr>
          <w:ilvl w:val="4"/>
          <w:numId w:val="2"/>
        </w:numPr>
        <w:spacing w:after="0"/>
        <w:ind w:left="1775" w:hanging="357"/>
      </w:pPr>
      <w:r w:rsidRPr="00A161AC">
        <w:t>p</w:t>
      </w:r>
      <w:r w:rsidR="00EC0EB2" w:rsidRPr="00A161AC">
        <w:t>romoting system-led improvement and mutual accountability between system partners</w:t>
      </w:r>
    </w:p>
    <w:p w14:paraId="1DBABF86" w14:textId="77777777" w:rsidR="00EC0EB2" w:rsidRPr="00A161AC" w:rsidRDefault="00EC0EB2" w:rsidP="00EC0EB2">
      <w:pPr>
        <w:pStyle w:val="Numberedlist"/>
        <w:numPr>
          <w:ilvl w:val="0"/>
          <w:numId w:val="0"/>
        </w:numPr>
        <w:ind w:left="1899"/>
      </w:pPr>
    </w:p>
    <w:p w14:paraId="4D1C6DCB" w14:textId="77777777" w:rsidR="009278C8" w:rsidRPr="00A161AC" w:rsidRDefault="009278C8" w:rsidP="00EC0EB2">
      <w:pPr>
        <w:pStyle w:val="Numberedlist"/>
        <w:numPr>
          <w:ilvl w:val="0"/>
          <w:numId w:val="0"/>
        </w:numPr>
        <w:ind w:left="1899"/>
      </w:pPr>
    </w:p>
    <w:p w14:paraId="40207AF5" w14:textId="77777777" w:rsidR="009278C8" w:rsidRPr="00A161AC" w:rsidRDefault="009278C8" w:rsidP="00EC0EB2">
      <w:pPr>
        <w:pStyle w:val="Numberedlist"/>
        <w:numPr>
          <w:ilvl w:val="0"/>
          <w:numId w:val="0"/>
        </w:numPr>
        <w:ind w:left="1899"/>
      </w:pPr>
    </w:p>
    <w:p w14:paraId="32CF76BE" w14:textId="77777777" w:rsidR="009278C8" w:rsidRPr="00A161AC" w:rsidRDefault="009278C8" w:rsidP="00EC0EB2">
      <w:pPr>
        <w:pStyle w:val="Numberedlist"/>
        <w:numPr>
          <w:ilvl w:val="0"/>
          <w:numId w:val="0"/>
        </w:numPr>
        <w:ind w:left="1899"/>
      </w:pPr>
    </w:p>
    <w:p w14:paraId="33A6683C" w14:textId="77777777" w:rsidR="009278C8" w:rsidRPr="00A161AC" w:rsidRDefault="009278C8" w:rsidP="00EC0EB2">
      <w:pPr>
        <w:pStyle w:val="Numberedlist"/>
        <w:numPr>
          <w:ilvl w:val="0"/>
          <w:numId w:val="0"/>
        </w:numPr>
        <w:ind w:left="1899"/>
      </w:pPr>
    </w:p>
    <w:p w14:paraId="2FA4CAF1" w14:textId="77777777" w:rsidR="009278C8" w:rsidRPr="00A161AC" w:rsidRDefault="009278C8" w:rsidP="00EC0EB2">
      <w:pPr>
        <w:pStyle w:val="Numberedlist"/>
        <w:numPr>
          <w:ilvl w:val="0"/>
          <w:numId w:val="0"/>
        </w:numPr>
        <w:ind w:left="1899"/>
      </w:pPr>
    </w:p>
    <w:p w14:paraId="053FC398" w14:textId="77777777" w:rsidR="009278C8" w:rsidRPr="00A161AC" w:rsidRDefault="009278C8" w:rsidP="00EC0EB2">
      <w:pPr>
        <w:pStyle w:val="Numberedlist"/>
        <w:numPr>
          <w:ilvl w:val="0"/>
          <w:numId w:val="0"/>
        </w:numPr>
        <w:ind w:left="1899"/>
      </w:pPr>
    </w:p>
    <w:p w14:paraId="6A842774" w14:textId="77777777" w:rsidR="009278C8" w:rsidRPr="00A161AC" w:rsidRDefault="009278C8" w:rsidP="00EC0EB2">
      <w:pPr>
        <w:pStyle w:val="Numberedlist"/>
        <w:numPr>
          <w:ilvl w:val="0"/>
          <w:numId w:val="0"/>
        </w:numPr>
        <w:ind w:left="1899"/>
      </w:pPr>
    </w:p>
    <w:p w14:paraId="41E44A29" w14:textId="06521F3E" w:rsidR="009278C8" w:rsidRPr="00A161AC" w:rsidRDefault="009278C8" w:rsidP="00EC0EB2">
      <w:pPr>
        <w:pStyle w:val="Numberedlist"/>
        <w:numPr>
          <w:ilvl w:val="0"/>
          <w:numId w:val="0"/>
        </w:numPr>
        <w:ind w:left="1899"/>
      </w:pPr>
      <w:r w:rsidRPr="00A161AC">
        <w:rPr>
          <w:noProof/>
        </w:rPr>
        <w:lastRenderedPageBreak/>
        <mc:AlternateContent>
          <mc:Choice Requires="wps">
            <w:drawing>
              <wp:anchor distT="0" distB="0" distL="114300" distR="114300" simplePos="0" relativeHeight="251659264" behindDoc="0" locked="0" layoutInCell="1" allowOverlap="1" wp14:anchorId="17853DEE" wp14:editId="2A150FB4">
                <wp:simplePos x="0" y="0"/>
                <wp:positionH relativeFrom="column">
                  <wp:posOffset>362317</wp:posOffset>
                </wp:positionH>
                <wp:positionV relativeFrom="paragraph">
                  <wp:posOffset>100631</wp:posOffset>
                </wp:positionV>
                <wp:extent cx="5889925" cy="2892592"/>
                <wp:effectExtent l="19050" t="19050" r="15875" b="22225"/>
                <wp:wrapNone/>
                <wp:docPr id="1934833330" name="Text Box 2"/>
                <wp:cNvGraphicFramePr/>
                <a:graphic xmlns:a="http://schemas.openxmlformats.org/drawingml/2006/main">
                  <a:graphicData uri="http://schemas.microsoft.com/office/word/2010/wordprocessingShape">
                    <wps:wsp>
                      <wps:cNvSpPr txBox="1"/>
                      <wps:spPr>
                        <a:xfrm>
                          <a:off x="0" y="0"/>
                          <a:ext cx="5889925" cy="2892592"/>
                        </a:xfrm>
                        <a:prstGeom prst="rect">
                          <a:avLst/>
                        </a:prstGeom>
                        <a:noFill/>
                        <a:ln w="31750">
                          <a:solidFill>
                            <a:schemeClr val="tx2"/>
                          </a:solidFill>
                        </a:ln>
                      </wps:spPr>
                      <wps:txbx>
                        <w:txbxContent>
                          <w:p w14:paraId="049AD8B6" w14:textId="77777777" w:rsidR="009278C8" w:rsidRDefault="009278C8" w:rsidP="009278C8">
                            <w:pPr>
                              <w:spacing w:before="120" w:after="0" w:line="240" w:lineRule="auto"/>
                              <w:textboxTightWrap w:val="none"/>
                              <w:rPr>
                                <w:rFonts w:eastAsia="+mn-ea" w:cs="Arial"/>
                                <w:kern w:val="24"/>
                                <w:lang w:eastAsia="en-GB"/>
                              </w:rPr>
                            </w:pPr>
                            <w:r w:rsidRPr="009278C8">
                              <w:rPr>
                                <w:rFonts w:eastAsia="+mn-ea" w:cs="Arial"/>
                                <w:kern w:val="24"/>
                                <w:lang w:eastAsia="en-GB"/>
                              </w:rPr>
                              <w:t>By consistently living these behaviours we aim in the new NHS England to:</w:t>
                            </w:r>
                          </w:p>
                          <w:p w14:paraId="44775DE5" w14:textId="77777777" w:rsidR="009278C8" w:rsidRPr="009278C8" w:rsidRDefault="009278C8" w:rsidP="009278C8">
                            <w:pPr>
                              <w:spacing w:before="120" w:after="0" w:line="240" w:lineRule="auto"/>
                              <w:textboxTightWrap w:val="none"/>
                              <w:rPr>
                                <w:rFonts w:ascii="Times New Roman" w:hAnsi="Times New Roman"/>
                                <w:color w:val="auto"/>
                                <w:lang w:eastAsia="en-GB"/>
                              </w:rPr>
                            </w:pPr>
                          </w:p>
                          <w:p w14:paraId="437876EA" w14:textId="77777777" w:rsidR="009278C8" w:rsidRPr="009278C8" w:rsidRDefault="009278C8" w:rsidP="00AB4B85">
                            <w:pPr>
                              <w:numPr>
                                <w:ilvl w:val="0"/>
                                <w:numId w:val="31"/>
                              </w:numPr>
                              <w:tabs>
                                <w:tab w:val="clear" w:pos="548"/>
                                <w:tab w:val="num" w:pos="720"/>
                              </w:tabs>
                              <w:spacing w:before="120" w:after="0" w:line="240" w:lineRule="auto"/>
                              <w:ind w:left="284" w:hanging="284"/>
                              <w:contextualSpacing/>
                              <w:textboxTightWrap w:val="none"/>
                              <w:rPr>
                                <w:rFonts w:ascii="Times New Roman" w:hAnsi="Times New Roman"/>
                                <w:color w:val="2F5597"/>
                                <w:lang w:eastAsia="en-GB"/>
                              </w:rPr>
                            </w:pPr>
                            <w:r w:rsidRPr="009278C8">
                              <w:rPr>
                                <w:rFonts w:eastAsia="+mn-ea" w:cs="Arial"/>
                                <w:b/>
                                <w:bCs/>
                                <w:kern w:val="24"/>
                                <w:lang w:eastAsia="en-GB"/>
                              </w:rPr>
                              <w:t xml:space="preserve">Work as ‘one team’ across the NHS (ICBs, providers and NHS England) with our partners, being collaborative and empowering each other </w:t>
                            </w:r>
                            <w:r w:rsidRPr="009278C8">
                              <w:rPr>
                                <w:rFonts w:eastAsia="+mn-ea" w:cs="Arial"/>
                                <w:kern w:val="24"/>
                                <w:lang w:eastAsia="en-GB"/>
                              </w:rPr>
                              <w:t>– but also being clear about who is accountable for what.</w:t>
                            </w:r>
                          </w:p>
                          <w:p w14:paraId="7F76BCB4" w14:textId="77777777" w:rsidR="009278C8" w:rsidRPr="009278C8" w:rsidRDefault="009278C8" w:rsidP="00AB4B85">
                            <w:pPr>
                              <w:numPr>
                                <w:ilvl w:val="0"/>
                                <w:numId w:val="31"/>
                              </w:numPr>
                              <w:tabs>
                                <w:tab w:val="num" w:pos="720"/>
                              </w:tabs>
                              <w:spacing w:before="120" w:after="0" w:line="240" w:lineRule="auto"/>
                              <w:ind w:left="284" w:hanging="284"/>
                              <w:contextualSpacing/>
                              <w:textboxTightWrap w:val="none"/>
                              <w:rPr>
                                <w:rFonts w:ascii="Times New Roman" w:hAnsi="Times New Roman"/>
                                <w:color w:val="2F5597"/>
                                <w:lang w:eastAsia="en-GB"/>
                              </w:rPr>
                            </w:pPr>
                            <w:r w:rsidRPr="009278C8">
                              <w:rPr>
                                <w:rFonts w:eastAsia="+mn-ea" w:cs="Arial"/>
                                <w:b/>
                                <w:bCs/>
                                <w:kern w:val="24"/>
                                <w:lang w:eastAsia="en-GB"/>
                              </w:rPr>
                              <w:t xml:space="preserve">Seek co-creation and ownership </w:t>
                            </w:r>
                            <w:r w:rsidRPr="009278C8">
                              <w:rPr>
                                <w:rFonts w:eastAsia="+mn-ea" w:cs="Arial"/>
                                <w:kern w:val="24"/>
                                <w:lang w:eastAsia="en-GB"/>
                              </w:rPr>
                              <w:t>of our strategy, priorities and support offers – both within the NHS team and with partners – and demonstrate collaborative leadership.</w:t>
                            </w:r>
                          </w:p>
                          <w:p w14:paraId="09325375" w14:textId="77777777" w:rsidR="009278C8" w:rsidRPr="009278C8" w:rsidRDefault="009278C8" w:rsidP="00AB4B85">
                            <w:pPr>
                              <w:numPr>
                                <w:ilvl w:val="0"/>
                                <w:numId w:val="31"/>
                              </w:numPr>
                              <w:tabs>
                                <w:tab w:val="num" w:pos="720"/>
                              </w:tabs>
                              <w:spacing w:before="120" w:after="0" w:line="240" w:lineRule="auto"/>
                              <w:ind w:left="284" w:hanging="284"/>
                              <w:contextualSpacing/>
                              <w:textboxTightWrap w:val="none"/>
                              <w:rPr>
                                <w:rFonts w:ascii="Times New Roman" w:hAnsi="Times New Roman"/>
                                <w:color w:val="2F5597"/>
                                <w:lang w:eastAsia="en-GB"/>
                              </w:rPr>
                            </w:pPr>
                            <w:r w:rsidRPr="009278C8">
                              <w:rPr>
                                <w:rFonts w:eastAsia="+mn-ea" w:cs="Arial"/>
                                <w:b/>
                                <w:bCs/>
                                <w:kern w:val="24"/>
                                <w:lang w:eastAsia="en-GB"/>
                              </w:rPr>
                              <w:t xml:space="preserve">Be inclusive and value diversity </w:t>
                            </w:r>
                            <w:r w:rsidRPr="009278C8">
                              <w:rPr>
                                <w:rFonts w:eastAsia="+mn-ea" w:cs="Arial"/>
                                <w:kern w:val="24"/>
                                <w:lang w:eastAsia="en-GB"/>
                              </w:rPr>
                              <w:t>– make sure that no one feels excluded and listen to all perspectives.</w:t>
                            </w:r>
                          </w:p>
                          <w:p w14:paraId="6AB871F7" w14:textId="77777777" w:rsidR="009278C8" w:rsidRPr="009278C8" w:rsidRDefault="009278C8" w:rsidP="00AB4B85">
                            <w:pPr>
                              <w:numPr>
                                <w:ilvl w:val="0"/>
                                <w:numId w:val="31"/>
                              </w:numPr>
                              <w:tabs>
                                <w:tab w:val="num" w:pos="720"/>
                              </w:tabs>
                              <w:spacing w:before="120" w:after="0" w:line="240" w:lineRule="auto"/>
                              <w:ind w:left="284" w:hanging="284"/>
                              <w:contextualSpacing/>
                              <w:textboxTightWrap w:val="none"/>
                              <w:rPr>
                                <w:rFonts w:ascii="Times New Roman" w:hAnsi="Times New Roman"/>
                                <w:color w:val="2F5597"/>
                                <w:lang w:eastAsia="en-GB"/>
                              </w:rPr>
                            </w:pPr>
                            <w:r w:rsidRPr="009278C8">
                              <w:rPr>
                                <w:rFonts w:eastAsia="+mn-ea" w:cs="Arial"/>
                                <w:b/>
                                <w:bCs/>
                                <w:kern w:val="24"/>
                                <w:lang w:eastAsia="en-GB"/>
                              </w:rPr>
                              <w:t xml:space="preserve">Work at pace when appropriate and be agile </w:t>
                            </w:r>
                            <w:r w:rsidRPr="009278C8">
                              <w:rPr>
                                <w:rFonts w:eastAsia="+mn-ea" w:cs="Arial"/>
                                <w:kern w:val="24"/>
                                <w:lang w:eastAsia="en-GB"/>
                              </w:rPr>
                              <w:t>– streamlining how we make decisions, avoiding duplication and multiple layers where we can.</w:t>
                            </w:r>
                          </w:p>
                          <w:p w14:paraId="40F8EEFE" w14:textId="77777777" w:rsidR="009278C8" w:rsidRPr="009278C8" w:rsidRDefault="009278C8" w:rsidP="00AB4B85">
                            <w:pPr>
                              <w:numPr>
                                <w:ilvl w:val="0"/>
                                <w:numId w:val="31"/>
                              </w:numPr>
                              <w:tabs>
                                <w:tab w:val="num" w:pos="720"/>
                              </w:tabs>
                              <w:spacing w:before="120" w:after="0" w:line="240" w:lineRule="auto"/>
                              <w:ind w:left="284" w:hanging="284"/>
                              <w:contextualSpacing/>
                              <w:textboxTightWrap w:val="none"/>
                              <w:rPr>
                                <w:rFonts w:ascii="Times New Roman" w:hAnsi="Times New Roman"/>
                                <w:color w:val="2F5597"/>
                                <w:lang w:eastAsia="en-GB"/>
                              </w:rPr>
                            </w:pPr>
                            <w:r w:rsidRPr="009278C8">
                              <w:rPr>
                                <w:rFonts w:eastAsia="+mn-ea" w:cs="Arial"/>
                                <w:b/>
                                <w:bCs/>
                                <w:kern w:val="24"/>
                                <w:lang w:eastAsia="en-GB"/>
                              </w:rPr>
                              <w:t xml:space="preserve">Learn by doing </w:t>
                            </w:r>
                            <w:r w:rsidRPr="009278C8">
                              <w:rPr>
                                <w:rFonts w:eastAsia="+mn-ea" w:cs="Arial"/>
                                <w:kern w:val="24"/>
                                <w:lang w:eastAsia="en-GB"/>
                              </w:rPr>
                              <w:t>– acting, evaluating and continuously improving.</w:t>
                            </w:r>
                          </w:p>
                          <w:p w14:paraId="28F54D15" w14:textId="77777777" w:rsidR="009278C8" w:rsidRPr="009278C8" w:rsidRDefault="009278C8" w:rsidP="00AB4B85">
                            <w:pPr>
                              <w:numPr>
                                <w:ilvl w:val="0"/>
                                <w:numId w:val="31"/>
                              </w:numPr>
                              <w:tabs>
                                <w:tab w:val="num" w:pos="720"/>
                              </w:tabs>
                              <w:spacing w:before="120" w:after="0" w:line="240" w:lineRule="auto"/>
                              <w:ind w:left="284" w:hanging="284"/>
                              <w:contextualSpacing/>
                              <w:textboxTightWrap w:val="none"/>
                              <w:rPr>
                                <w:rFonts w:ascii="Times New Roman" w:hAnsi="Times New Roman"/>
                                <w:color w:val="2F5597"/>
                                <w:lang w:eastAsia="en-GB"/>
                              </w:rPr>
                            </w:pPr>
                            <w:r w:rsidRPr="009278C8">
                              <w:rPr>
                                <w:rFonts w:eastAsia="+mn-ea" w:cs="Arial"/>
                                <w:b/>
                                <w:bCs/>
                                <w:kern w:val="24"/>
                                <w:lang w:eastAsia="en-GB"/>
                              </w:rPr>
                              <w:t xml:space="preserve">Be transparent and honest </w:t>
                            </w:r>
                            <w:r w:rsidRPr="009278C8">
                              <w:rPr>
                                <w:rFonts w:eastAsia="+mn-ea" w:cs="Arial"/>
                                <w:kern w:val="24"/>
                                <w:lang w:eastAsia="en-GB"/>
                              </w:rPr>
                              <w:t xml:space="preserve">– in all our interactions and activities. </w:t>
                            </w:r>
                          </w:p>
                          <w:p w14:paraId="042AA05C" w14:textId="77777777" w:rsidR="009278C8" w:rsidRDefault="009278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53DEE" id="_x0000_t202" coordsize="21600,21600" o:spt="202" path="m,l,21600r21600,l21600,xe">
                <v:stroke joinstyle="miter"/>
                <v:path gradientshapeok="t" o:connecttype="rect"/>
              </v:shapetype>
              <v:shape id="Text Box 2" o:spid="_x0000_s1026" type="#_x0000_t202" style="position:absolute;left:0;text-align:left;margin-left:28.55pt;margin-top:7.9pt;width:463.75pt;height:2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" filled="f" strokecolor="#005eb8 [3215]" strokeweight="2.5pt">
                <v:textbox>
                  <w:txbxContent>
                    <w:p w14:paraId="049AD8B6" w14:textId="77777777" w:rsidR="009278C8" w:rsidRDefault="009278C8" w:rsidP="009278C8">
                      <w:pPr>
                        <w:spacing w:before="120" w:after="0" w:line="240" w:lineRule="auto"/>
                        <w:textboxTightWrap w:val="none"/>
                        <w:rPr>
                          <w:rFonts w:eastAsia="+mn-ea" w:cs="Arial"/>
                          <w:kern w:val="24"/>
                          <w:lang w:eastAsia="en-GB"/>
                        </w:rPr>
                      </w:pPr>
                      <w:r w:rsidRPr="009278C8">
                        <w:rPr>
                          <w:rFonts w:eastAsia="+mn-ea" w:cs="Arial"/>
                          <w:kern w:val="24"/>
                          <w:lang w:eastAsia="en-GB"/>
                        </w:rPr>
                        <w:t>By consistently living these behaviours we aim in the new NHS England to:</w:t>
                      </w:r>
                    </w:p>
                    <w:p w14:paraId="44775DE5" w14:textId="77777777" w:rsidR="009278C8" w:rsidRPr="009278C8" w:rsidRDefault="009278C8" w:rsidP="009278C8">
                      <w:pPr>
                        <w:spacing w:before="120" w:after="0" w:line="240" w:lineRule="auto"/>
                        <w:textboxTightWrap w:val="none"/>
                        <w:rPr>
                          <w:rFonts w:ascii="Times New Roman" w:hAnsi="Times New Roman"/>
                          <w:color w:val="auto"/>
                          <w:lang w:eastAsia="en-GB"/>
                        </w:rPr>
                      </w:pPr>
                    </w:p>
                    <w:p w14:paraId="437876EA" w14:textId="77777777" w:rsidR="009278C8" w:rsidRPr="009278C8" w:rsidRDefault="009278C8" w:rsidP="00AB4B85">
                      <w:pPr>
                        <w:numPr>
                          <w:ilvl w:val="0"/>
                          <w:numId w:val="31"/>
                        </w:numPr>
                        <w:tabs>
                          <w:tab w:val="clear" w:pos="548"/>
                          <w:tab w:val="num" w:pos="720"/>
                        </w:tabs>
                        <w:spacing w:before="120" w:after="0" w:line="240" w:lineRule="auto"/>
                        <w:ind w:left="284" w:hanging="284"/>
                        <w:contextualSpacing/>
                        <w:textboxTightWrap w:val="none"/>
                        <w:rPr>
                          <w:rFonts w:ascii="Times New Roman" w:hAnsi="Times New Roman"/>
                          <w:color w:val="2F5597"/>
                          <w:lang w:eastAsia="en-GB"/>
                        </w:rPr>
                      </w:pPr>
                      <w:r w:rsidRPr="009278C8">
                        <w:rPr>
                          <w:rFonts w:eastAsia="+mn-ea" w:cs="Arial"/>
                          <w:b/>
                          <w:bCs/>
                          <w:kern w:val="24"/>
                          <w:lang w:eastAsia="en-GB"/>
                        </w:rPr>
                        <w:t xml:space="preserve">Work as ‘one team’ across the NHS (ICBs, providers and NHS England) with our partners, being collaborative and empowering each other </w:t>
                      </w:r>
                      <w:r w:rsidRPr="009278C8">
                        <w:rPr>
                          <w:rFonts w:eastAsia="+mn-ea" w:cs="Arial"/>
                          <w:kern w:val="24"/>
                          <w:lang w:eastAsia="en-GB"/>
                        </w:rPr>
                        <w:t>– but also being clear about who is accountable for what.</w:t>
                      </w:r>
                    </w:p>
                    <w:p w14:paraId="7F76BCB4" w14:textId="77777777" w:rsidR="009278C8" w:rsidRPr="009278C8" w:rsidRDefault="009278C8" w:rsidP="00AB4B85">
                      <w:pPr>
                        <w:numPr>
                          <w:ilvl w:val="0"/>
                          <w:numId w:val="31"/>
                        </w:numPr>
                        <w:tabs>
                          <w:tab w:val="num" w:pos="720"/>
                        </w:tabs>
                        <w:spacing w:before="120" w:after="0" w:line="240" w:lineRule="auto"/>
                        <w:ind w:left="284" w:hanging="284"/>
                        <w:contextualSpacing/>
                        <w:textboxTightWrap w:val="none"/>
                        <w:rPr>
                          <w:rFonts w:ascii="Times New Roman" w:hAnsi="Times New Roman"/>
                          <w:color w:val="2F5597"/>
                          <w:lang w:eastAsia="en-GB"/>
                        </w:rPr>
                      </w:pPr>
                      <w:r w:rsidRPr="009278C8">
                        <w:rPr>
                          <w:rFonts w:eastAsia="+mn-ea" w:cs="Arial"/>
                          <w:b/>
                          <w:bCs/>
                          <w:kern w:val="24"/>
                          <w:lang w:eastAsia="en-GB"/>
                        </w:rPr>
                        <w:t xml:space="preserve">Seek co-creation and ownership </w:t>
                      </w:r>
                      <w:r w:rsidRPr="009278C8">
                        <w:rPr>
                          <w:rFonts w:eastAsia="+mn-ea" w:cs="Arial"/>
                          <w:kern w:val="24"/>
                          <w:lang w:eastAsia="en-GB"/>
                        </w:rPr>
                        <w:t>of our strategy, priorities and support offers – both within the NHS team and with partners – and demonstrate collaborative leadership.</w:t>
                      </w:r>
                    </w:p>
                    <w:p w14:paraId="09325375" w14:textId="77777777" w:rsidR="009278C8" w:rsidRPr="009278C8" w:rsidRDefault="009278C8" w:rsidP="00AB4B85">
                      <w:pPr>
                        <w:numPr>
                          <w:ilvl w:val="0"/>
                          <w:numId w:val="31"/>
                        </w:numPr>
                        <w:tabs>
                          <w:tab w:val="num" w:pos="720"/>
                        </w:tabs>
                        <w:spacing w:before="120" w:after="0" w:line="240" w:lineRule="auto"/>
                        <w:ind w:left="284" w:hanging="284"/>
                        <w:contextualSpacing/>
                        <w:textboxTightWrap w:val="none"/>
                        <w:rPr>
                          <w:rFonts w:ascii="Times New Roman" w:hAnsi="Times New Roman"/>
                          <w:color w:val="2F5597"/>
                          <w:lang w:eastAsia="en-GB"/>
                        </w:rPr>
                      </w:pPr>
                      <w:r w:rsidRPr="009278C8">
                        <w:rPr>
                          <w:rFonts w:eastAsia="+mn-ea" w:cs="Arial"/>
                          <w:b/>
                          <w:bCs/>
                          <w:kern w:val="24"/>
                          <w:lang w:eastAsia="en-GB"/>
                        </w:rPr>
                        <w:t xml:space="preserve">Be inclusive and value diversity </w:t>
                      </w:r>
                      <w:r w:rsidRPr="009278C8">
                        <w:rPr>
                          <w:rFonts w:eastAsia="+mn-ea" w:cs="Arial"/>
                          <w:kern w:val="24"/>
                          <w:lang w:eastAsia="en-GB"/>
                        </w:rPr>
                        <w:t>– make sure that no one feels excluded and listen to all perspectives.</w:t>
                      </w:r>
                    </w:p>
                    <w:p w14:paraId="6AB871F7" w14:textId="77777777" w:rsidR="009278C8" w:rsidRPr="009278C8" w:rsidRDefault="009278C8" w:rsidP="00AB4B85">
                      <w:pPr>
                        <w:numPr>
                          <w:ilvl w:val="0"/>
                          <w:numId w:val="31"/>
                        </w:numPr>
                        <w:tabs>
                          <w:tab w:val="num" w:pos="720"/>
                        </w:tabs>
                        <w:spacing w:before="120" w:after="0" w:line="240" w:lineRule="auto"/>
                        <w:ind w:left="284" w:hanging="284"/>
                        <w:contextualSpacing/>
                        <w:textboxTightWrap w:val="none"/>
                        <w:rPr>
                          <w:rFonts w:ascii="Times New Roman" w:hAnsi="Times New Roman"/>
                          <w:color w:val="2F5597"/>
                          <w:lang w:eastAsia="en-GB"/>
                        </w:rPr>
                      </w:pPr>
                      <w:r w:rsidRPr="009278C8">
                        <w:rPr>
                          <w:rFonts w:eastAsia="+mn-ea" w:cs="Arial"/>
                          <w:b/>
                          <w:bCs/>
                          <w:kern w:val="24"/>
                          <w:lang w:eastAsia="en-GB"/>
                        </w:rPr>
                        <w:t xml:space="preserve">Work at pace when appropriate and be agile </w:t>
                      </w:r>
                      <w:r w:rsidRPr="009278C8">
                        <w:rPr>
                          <w:rFonts w:eastAsia="+mn-ea" w:cs="Arial"/>
                          <w:kern w:val="24"/>
                          <w:lang w:eastAsia="en-GB"/>
                        </w:rPr>
                        <w:t>– streamlining how we make decisions, avoiding duplication and multiple layers where we can.</w:t>
                      </w:r>
                    </w:p>
                    <w:p w14:paraId="40F8EEFE" w14:textId="77777777" w:rsidR="009278C8" w:rsidRPr="009278C8" w:rsidRDefault="009278C8" w:rsidP="00AB4B85">
                      <w:pPr>
                        <w:numPr>
                          <w:ilvl w:val="0"/>
                          <w:numId w:val="31"/>
                        </w:numPr>
                        <w:tabs>
                          <w:tab w:val="num" w:pos="720"/>
                        </w:tabs>
                        <w:spacing w:before="120" w:after="0" w:line="240" w:lineRule="auto"/>
                        <w:ind w:left="284" w:hanging="284"/>
                        <w:contextualSpacing/>
                        <w:textboxTightWrap w:val="none"/>
                        <w:rPr>
                          <w:rFonts w:ascii="Times New Roman" w:hAnsi="Times New Roman"/>
                          <w:color w:val="2F5597"/>
                          <w:lang w:eastAsia="en-GB"/>
                        </w:rPr>
                      </w:pPr>
                      <w:r w:rsidRPr="009278C8">
                        <w:rPr>
                          <w:rFonts w:eastAsia="+mn-ea" w:cs="Arial"/>
                          <w:b/>
                          <w:bCs/>
                          <w:kern w:val="24"/>
                          <w:lang w:eastAsia="en-GB"/>
                        </w:rPr>
                        <w:t xml:space="preserve">Learn by doing </w:t>
                      </w:r>
                      <w:r w:rsidRPr="009278C8">
                        <w:rPr>
                          <w:rFonts w:eastAsia="+mn-ea" w:cs="Arial"/>
                          <w:kern w:val="24"/>
                          <w:lang w:eastAsia="en-GB"/>
                        </w:rPr>
                        <w:t xml:space="preserve">– acting, </w:t>
                      </w:r>
                      <w:proofErr w:type="gramStart"/>
                      <w:r w:rsidRPr="009278C8">
                        <w:rPr>
                          <w:rFonts w:eastAsia="+mn-ea" w:cs="Arial"/>
                          <w:kern w:val="24"/>
                          <w:lang w:eastAsia="en-GB"/>
                        </w:rPr>
                        <w:t>evaluating</w:t>
                      </w:r>
                      <w:proofErr w:type="gramEnd"/>
                      <w:r w:rsidRPr="009278C8">
                        <w:rPr>
                          <w:rFonts w:eastAsia="+mn-ea" w:cs="Arial"/>
                          <w:kern w:val="24"/>
                          <w:lang w:eastAsia="en-GB"/>
                        </w:rPr>
                        <w:t xml:space="preserve"> and continuously improving.</w:t>
                      </w:r>
                    </w:p>
                    <w:p w14:paraId="28F54D15" w14:textId="77777777" w:rsidR="009278C8" w:rsidRPr="009278C8" w:rsidRDefault="009278C8" w:rsidP="00AB4B85">
                      <w:pPr>
                        <w:numPr>
                          <w:ilvl w:val="0"/>
                          <w:numId w:val="31"/>
                        </w:numPr>
                        <w:tabs>
                          <w:tab w:val="num" w:pos="720"/>
                        </w:tabs>
                        <w:spacing w:before="120" w:after="0" w:line="240" w:lineRule="auto"/>
                        <w:ind w:left="284" w:hanging="284"/>
                        <w:contextualSpacing/>
                        <w:textboxTightWrap w:val="none"/>
                        <w:rPr>
                          <w:rFonts w:ascii="Times New Roman" w:hAnsi="Times New Roman"/>
                          <w:color w:val="2F5597"/>
                          <w:lang w:eastAsia="en-GB"/>
                        </w:rPr>
                      </w:pPr>
                      <w:r w:rsidRPr="009278C8">
                        <w:rPr>
                          <w:rFonts w:eastAsia="+mn-ea" w:cs="Arial"/>
                          <w:b/>
                          <w:bCs/>
                          <w:kern w:val="24"/>
                          <w:lang w:eastAsia="en-GB"/>
                        </w:rPr>
                        <w:t xml:space="preserve">Be transparent and honest </w:t>
                      </w:r>
                      <w:r w:rsidRPr="009278C8">
                        <w:rPr>
                          <w:rFonts w:eastAsia="+mn-ea" w:cs="Arial"/>
                          <w:kern w:val="24"/>
                          <w:lang w:eastAsia="en-GB"/>
                        </w:rPr>
                        <w:t xml:space="preserve">– in all our interactions and activities. </w:t>
                      </w:r>
                    </w:p>
                    <w:p w14:paraId="042AA05C" w14:textId="77777777" w:rsidR="009278C8" w:rsidRDefault="009278C8"/>
                  </w:txbxContent>
                </v:textbox>
              </v:shape>
            </w:pict>
          </mc:Fallback>
        </mc:AlternateContent>
      </w:r>
    </w:p>
    <w:p w14:paraId="3EF6E5BB" w14:textId="77777777" w:rsidR="009278C8" w:rsidRPr="00A161AC" w:rsidRDefault="009278C8" w:rsidP="00EC0EB2">
      <w:pPr>
        <w:pStyle w:val="Numberedlist"/>
        <w:numPr>
          <w:ilvl w:val="0"/>
          <w:numId w:val="0"/>
        </w:numPr>
        <w:ind w:left="1899"/>
      </w:pPr>
    </w:p>
    <w:p w14:paraId="18CC72DA" w14:textId="77777777" w:rsidR="009278C8" w:rsidRPr="00A161AC" w:rsidRDefault="009278C8" w:rsidP="00EC0EB2">
      <w:pPr>
        <w:pStyle w:val="Numberedlist"/>
        <w:numPr>
          <w:ilvl w:val="0"/>
          <w:numId w:val="0"/>
        </w:numPr>
        <w:ind w:left="1899"/>
      </w:pPr>
    </w:p>
    <w:p w14:paraId="2CD80512" w14:textId="77777777" w:rsidR="009278C8" w:rsidRPr="00A161AC" w:rsidRDefault="009278C8" w:rsidP="00EC0EB2">
      <w:pPr>
        <w:pStyle w:val="Numberedlist"/>
        <w:numPr>
          <w:ilvl w:val="0"/>
          <w:numId w:val="0"/>
        </w:numPr>
        <w:ind w:left="1899"/>
      </w:pPr>
    </w:p>
    <w:p w14:paraId="2B3D9F42" w14:textId="77777777" w:rsidR="009278C8" w:rsidRPr="00A161AC" w:rsidRDefault="009278C8" w:rsidP="00EC0EB2">
      <w:pPr>
        <w:pStyle w:val="Numberedlist"/>
        <w:numPr>
          <w:ilvl w:val="0"/>
          <w:numId w:val="0"/>
        </w:numPr>
        <w:ind w:left="1899"/>
      </w:pPr>
    </w:p>
    <w:p w14:paraId="6039DD89" w14:textId="77777777" w:rsidR="009278C8" w:rsidRPr="00A161AC" w:rsidRDefault="009278C8" w:rsidP="00EC0EB2">
      <w:pPr>
        <w:pStyle w:val="Numberedlist"/>
        <w:numPr>
          <w:ilvl w:val="0"/>
          <w:numId w:val="0"/>
        </w:numPr>
        <w:ind w:left="1899"/>
      </w:pPr>
    </w:p>
    <w:p w14:paraId="13EE6C96" w14:textId="77777777" w:rsidR="009278C8" w:rsidRPr="00A161AC" w:rsidRDefault="009278C8" w:rsidP="00EC0EB2">
      <w:pPr>
        <w:pStyle w:val="Numberedlist"/>
        <w:numPr>
          <w:ilvl w:val="0"/>
          <w:numId w:val="0"/>
        </w:numPr>
        <w:ind w:left="1899"/>
      </w:pPr>
    </w:p>
    <w:p w14:paraId="72B53CCF" w14:textId="77777777" w:rsidR="009278C8" w:rsidRPr="00A161AC" w:rsidRDefault="009278C8" w:rsidP="00EC0EB2">
      <w:pPr>
        <w:pStyle w:val="Numberedlist"/>
        <w:numPr>
          <w:ilvl w:val="0"/>
          <w:numId w:val="0"/>
        </w:numPr>
        <w:ind w:left="1899"/>
      </w:pPr>
    </w:p>
    <w:p w14:paraId="252825E4" w14:textId="77777777" w:rsidR="009278C8" w:rsidRPr="00A161AC" w:rsidRDefault="009278C8" w:rsidP="00EC0EB2">
      <w:pPr>
        <w:pStyle w:val="Numberedlist"/>
        <w:numPr>
          <w:ilvl w:val="0"/>
          <w:numId w:val="0"/>
        </w:numPr>
        <w:ind w:left="1899"/>
      </w:pPr>
    </w:p>
    <w:p w14:paraId="5C9B417A" w14:textId="77777777" w:rsidR="009278C8" w:rsidRPr="00A161AC" w:rsidRDefault="009278C8" w:rsidP="00EC0EB2">
      <w:pPr>
        <w:pStyle w:val="Numberedlist"/>
        <w:numPr>
          <w:ilvl w:val="0"/>
          <w:numId w:val="0"/>
        </w:numPr>
        <w:ind w:left="1899"/>
      </w:pPr>
    </w:p>
    <w:p w14:paraId="6CBB06BD" w14:textId="77777777" w:rsidR="009278C8" w:rsidRPr="00A161AC" w:rsidRDefault="009278C8" w:rsidP="00EC0EB2">
      <w:pPr>
        <w:pStyle w:val="Numberedlist"/>
        <w:numPr>
          <w:ilvl w:val="0"/>
          <w:numId w:val="0"/>
        </w:numPr>
        <w:ind w:left="1899"/>
      </w:pPr>
    </w:p>
    <w:p w14:paraId="20523C51" w14:textId="44AA5F49" w:rsidR="00EC0EB2" w:rsidRPr="00A161AC" w:rsidRDefault="00EC0EB2" w:rsidP="00060B73">
      <w:pPr>
        <w:pStyle w:val="Numberedlist"/>
        <w:numPr>
          <w:ilvl w:val="0"/>
          <w:numId w:val="0"/>
        </w:numPr>
        <w:ind w:left="992" w:hanging="566"/>
        <w:jc w:val="center"/>
      </w:pPr>
    </w:p>
    <w:p w14:paraId="0DE0B197" w14:textId="5E87A27E" w:rsidR="00EC0EB2" w:rsidRPr="00A161AC" w:rsidRDefault="00EC0EB2" w:rsidP="00713E6B">
      <w:pPr>
        <w:pStyle w:val="Numberedlist"/>
        <w:numPr>
          <w:ilvl w:val="0"/>
          <w:numId w:val="0"/>
        </w:numPr>
        <w:spacing w:after="0"/>
        <w:ind w:left="992" w:hanging="425"/>
        <w:rPr>
          <w:sz w:val="20"/>
          <w:szCs w:val="20"/>
        </w:rPr>
      </w:pPr>
      <w:r w:rsidRPr="00A161AC">
        <w:rPr>
          <w:sz w:val="20"/>
          <w:szCs w:val="20"/>
        </w:rPr>
        <w:t xml:space="preserve">Figure </w:t>
      </w:r>
      <w:r w:rsidR="004A446E" w:rsidRPr="00A161AC">
        <w:rPr>
          <w:sz w:val="20"/>
          <w:szCs w:val="20"/>
        </w:rPr>
        <w:t>1</w:t>
      </w:r>
      <w:r w:rsidRPr="00A161AC">
        <w:rPr>
          <w:sz w:val="20"/>
          <w:szCs w:val="20"/>
        </w:rPr>
        <w:t>: Leadership behaviours, NHS England Operating Framework, Pg. 13</w:t>
      </w:r>
    </w:p>
    <w:p w14:paraId="0009B03F" w14:textId="77777777" w:rsidR="00EC0EB2" w:rsidRPr="00A161AC" w:rsidRDefault="00EC0EB2" w:rsidP="00713E6B">
      <w:pPr>
        <w:pStyle w:val="h3numbered"/>
        <w:spacing w:after="0"/>
      </w:pPr>
      <w:bookmarkStart w:id="5" w:name="_Toc160636204"/>
      <w:bookmarkStart w:id="6" w:name="_Toc163574919"/>
      <w:r w:rsidRPr="00A161AC">
        <w:t>Oversight and Assessment</w:t>
      </w:r>
      <w:bookmarkEnd w:id="5"/>
      <w:bookmarkEnd w:id="6"/>
    </w:p>
    <w:p w14:paraId="0EBB11D1" w14:textId="5A998FCF" w:rsidR="00EC0EB2" w:rsidRPr="00A161AC" w:rsidRDefault="005960B6" w:rsidP="00007727">
      <w:pPr>
        <w:pStyle w:val="Numberedlist"/>
        <w:ind w:left="709" w:hanging="425"/>
      </w:pPr>
      <w:r w:rsidRPr="00A161AC">
        <w:t xml:space="preserve">Figure </w:t>
      </w:r>
      <w:r w:rsidR="004A446E" w:rsidRPr="00A161AC">
        <w:t>2</w:t>
      </w:r>
      <w:r w:rsidRPr="00A161AC">
        <w:t xml:space="preserve"> sets out an overview of NHS England’s oversight and assessment approach. For this document, o</w:t>
      </w:r>
      <w:r w:rsidR="00EC0EB2" w:rsidRPr="00A161AC">
        <w:t>versight and assessment are defined as:</w:t>
      </w:r>
    </w:p>
    <w:p w14:paraId="346C853D" w14:textId="12597B69" w:rsidR="00413C10" w:rsidRPr="00A161AC" w:rsidRDefault="00413C10" w:rsidP="00713E6B">
      <w:pPr>
        <w:pStyle w:val="Numberedlist"/>
        <w:numPr>
          <w:ilvl w:val="1"/>
          <w:numId w:val="2"/>
        </w:numPr>
        <w:spacing w:after="0"/>
        <w:ind w:left="1775" w:hanging="357"/>
      </w:pPr>
      <w:r w:rsidRPr="00A161AC">
        <w:rPr>
          <w:u w:val="single"/>
        </w:rPr>
        <w:t xml:space="preserve">Oversight </w:t>
      </w:r>
      <w:r w:rsidRPr="00A161AC">
        <w:t xml:space="preserve">is the ongoing monitoring of performance and quality of services being delivered by the NHS, to manage the delivery of the priorities set out in </w:t>
      </w:r>
      <w:hyperlink r:id="rId26" w:history="1">
        <w:r w:rsidRPr="00A161AC">
          <w:rPr>
            <w:rStyle w:val="Hyperlink"/>
            <w:rFonts w:ascii="Arial" w:hAnsi="Arial"/>
          </w:rPr>
          <w:t>NHS planning guidance</w:t>
        </w:r>
      </w:hyperlink>
      <w:r w:rsidRPr="00A161AC">
        <w:t xml:space="preserve">, the NHS Long Term Plan, and the </w:t>
      </w:r>
      <w:hyperlink r:id="rId27" w:history="1">
        <w:r w:rsidRPr="00A161AC">
          <w:rPr>
            <w:rStyle w:val="Hyperlink"/>
            <w:rFonts w:ascii="Arial" w:hAnsi="Arial"/>
          </w:rPr>
          <w:t>NHS Long Term Workforce Plan.</w:t>
        </w:r>
      </w:hyperlink>
      <w:r w:rsidRPr="00A161AC">
        <w:t xml:space="preserve"> Its purpose is to provide assurance of performance and delivery as well as identify areas of challenge and </w:t>
      </w:r>
      <w:r w:rsidR="00E448CA" w:rsidRPr="00A161AC">
        <w:t xml:space="preserve">those requiring </w:t>
      </w:r>
      <w:r w:rsidRPr="00A161AC">
        <w:t xml:space="preserve">support or intervention. </w:t>
      </w:r>
      <w:r w:rsidR="00E039A8" w:rsidRPr="00A161AC">
        <w:t xml:space="preserve">The oversight framework specifically sets out how ICBs and NHS Trusts </w:t>
      </w:r>
      <w:r w:rsidR="005940D1" w:rsidRPr="00A161AC">
        <w:t xml:space="preserve">and Foundation Trusts are overseen, it does not cover </w:t>
      </w:r>
      <w:r w:rsidR="00AF5797" w:rsidRPr="00A161AC">
        <w:t xml:space="preserve">the oversight of primary care </w:t>
      </w:r>
      <w:r w:rsidR="00E82A80" w:rsidRPr="00A161AC">
        <w:t>providers who are overseen by ICBs in line with the</w:t>
      </w:r>
      <w:r w:rsidR="00620BAF" w:rsidRPr="00A161AC">
        <w:t>ir</w:t>
      </w:r>
      <w:r w:rsidR="00E82A80" w:rsidRPr="00A161AC">
        <w:t xml:space="preserve"> delegated commissioning responsibilities.</w:t>
      </w:r>
    </w:p>
    <w:p w14:paraId="7142525B" w14:textId="4218E13E" w:rsidR="00B66CE9" w:rsidRPr="00A161AC" w:rsidRDefault="00B66CE9" w:rsidP="00713E6B">
      <w:pPr>
        <w:pStyle w:val="Numberedlist"/>
        <w:numPr>
          <w:ilvl w:val="1"/>
          <w:numId w:val="2"/>
        </w:numPr>
        <w:spacing w:after="0"/>
        <w:ind w:left="1775" w:hanging="357"/>
      </w:pPr>
      <w:r w:rsidRPr="00A161AC">
        <w:rPr>
          <w:u w:val="single"/>
        </w:rPr>
        <w:t>Assessment</w:t>
      </w:r>
      <w:r w:rsidRPr="00A161AC">
        <w:t xml:space="preserve"> is the process by which we judge an organisation’s capability</w:t>
      </w:r>
      <w:r w:rsidR="004331E4" w:rsidRPr="00A161AC">
        <w:t xml:space="preserve"> and governance</w:t>
      </w:r>
      <w:r w:rsidRPr="00A161AC">
        <w:t xml:space="preserve">. For ICBs, </w:t>
      </w:r>
      <w:r w:rsidR="004547C6" w:rsidRPr="00A161AC">
        <w:t>NHS England has</w:t>
      </w:r>
      <w:r w:rsidRPr="00A161AC">
        <w:t xml:space="preserve"> a statutory responsibility to conduct a performance assessment </w:t>
      </w:r>
      <w:r w:rsidR="00AC3564" w:rsidRPr="00A161AC">
        <w:t>for</w:t>
      </w:r>
      <w:r w:rsidRPr="00A161AC">
        <w:t xml:space="preserve"> each financial year. </w:t>
      </w:r>
      <w:r w:rsidR="008E5E3F" w:rsidRPr="00A161AC">
        <w:rPr>
          <w:rFonts w:cs="Arial"/>
        </w:rPr>
        <w:t xml:space="preserve">We have </w:t>
      </w:r>
      <w:r w:rsidR="00121845" w:rsidRPr="00A161AC">
        <w:rPr>
          <w:rFonts w:cs="Arial"/>
        </w:rPr>
        <w:t>no similar statutory duty as respects</w:t>
      </w:r>
      <w:r w:rsidR="008E5E3F" w:rsidRPr="00A161AC">
        <w:rPr>
          <w:rFonts w:cs="Arial"/>
        </w:rPr>
        <w:t xml:space="preserve"> </w:t>
      </w:r>
      <w:r w:rsidR="001B2CA3" w:rsidRPr="00A161AC">
        <w:rPr>
          <w:rFonts w:cs="Arial"/>
        </w:rPr>
        <w:t>providers</w:t>
      </w:r>
      <w:r w:rsidR="00121845" w:rsidRPr="00A161AC">
        <w:rPr>
          <w:rFonts w:cs="Arial"/>
        </w:rPr>
        <w:t>,</w:t>
      </w:r>
      <w:r w:rsidR="001B2CA3" w:rsidRPr="00A161AC">
        <w:rPr>
          <w:rFonts w:cs="Arial"/>
        </w:rPr>
        <w:t xml:space="preserve"> but we work alongside the Care Quality Commission to ensure </w:t>
      </w:r>
      <w:r w:rsidR="00EC6110" w:rsidRPr="00A161AC">
        <w:rPr>
          <w:rFonts w:cs="Arial"/>
        </w:rPr>
        <w:t xml:space="preserve">that these organisations are providing safe and effective care </w:t>
      </w:r>
      <w:r w:rsidR="00121845" w:rsidRPr="00A161AC">
        <w:rPr>
          <w:rFonts w:cs="Arial"/>
        </w:rPr>
        <w:t xml:space="preserve">and delivering services </w:t>
      </w:r>
      <w:r w:rsidR="00EC6110" w:rsidRPr="00A161AC">
        <w:rPr>
          <w:rFonts w:cs="Arial"/>
        </w:rPr>
        <w:t xml:space="preserve">in line with </w:t>
      </w:r>
      <w:r w:rsidR="00121845" w:rsidRPr="00A161AC">
        <w:rPr>
          <w:rFonts w:cs="Arial"/>
        </w:rPr>
        <w:t xml:space="preserve">the </w:t>
      </w:r>
      <w:r w:rsidR="00EC6110" w:rsidRPr="00A161AC">
        <w:rPr>
          <w:rFonts w:cs="Arial"/>
        </w:rPr>
        <w:t>conditions of their provider license.</w:t>
      </w:r>
    </w:p>
    <w:p w14:paraId="5DBAF740" w14:textId="77777777" w:rsidR="00A71DCB" w:rsidRPr="00A161AC" w:rsidRDefault="00A71DCB" w:rsidP="00A71DCB">
      <w:pPr>
        <w:pStyle w:val="Numberedlist"/>
        <w:numPr>
          <w:ilvl w:val="0"/>
          <w:numId w:val="0"/>
        </w:numPr>
        <w:ind w:left="1843"/>
      </w:pPr>
    </w:p>
    <w:p w14:paraId="4D56F159" w14:textId="7EC42874" w:rsidR="00007727" w:rsidRPr="00A161AC" w:rsidRDefault="00102801" w:rsidP="00713E6B">
      <w:pPr>
        <w:pStyle w:val="Numberedlist"/>
        <w:spacing w:after="0"/>
        <w:ind w:left="714" w:hanging="357"/>
      </w:pPr>
      <w:r w:rsidRPr="00A161AC">
        <w:t xml:space="preserve">We have built our approach around </w:t>
      </w:r>
      <w:r w:rsidR="00EE15E8" w:rsidRPr="00A161AC">
        <w:t>oversight of</w:t>
      </w:r>
      <w:r w:rsidRPr="00A161AC">
        <w:t xml:space="preserve"> delivery</w:t>
      </w:r>
      <w:r w:rsidR="001D133F" w:rsidRPr="00A161AC">
        <w:t xml:space="preserve"> </w:t>
      </w:r>
      <w:r w:rsidR="00EE15E8" w:rsidRPr="00A161AC">
        <w:t xml:space="preserve">against </w:t>
      </w:r>
      <w:r w:rsidRPr="00A161AC">
        <w:t>relevant NHS priorities</w:t>
      </w:r>
      <w:r w:rsidR="001D133F" w:rsidRPr="00A161AC">
        <w:t xml:space="preserve"> via the oversight cycle </w:t>
      </w:r>
      <w:r w:rsidRPr="00A161AC">
        <w:t>and an assessment of organisational capability</w:t>
      </w:r>
      <w:r w:rsidR="007373EA" w:rsidRPr="00A161AC">
        <w:t>.</w:t>
      </w:r>
    </w:p>
    <w:p w14:paraId="1DB9DF9C" w14:textId="74E43ED9" w:rsidR="00A71DCB" w:rsidRPr="00A161AC" w:rsidRDefault="00007727" w:rsidP="00007727">
      <w:pPr>
        <w:spacing w:after="0" w:line="240" w:lineRule="auto"/>
        <w:textboxTightWrap w:val="none"/>
      </w:pPr>
      <w:r w:rsidRPr="00A161AC">
        <w:br w:type="page"/>
      </w:r>
    </w:p>
    <w:p w14:paraId="1CF3B011" w14:textId="600A98B5" w:rsidR="00AB4B85" w:rsidRPr="00A161AC" w:rsidRDefault="00AB4B85" w:rsidP="00AB4B85">
      <w:pPr>
        <w:pStyle w:val="Numberedlist"/>
        <w:numPr>
          <w:ilvl w:val="0"/>
          <w:numId w:val="0"/>
        </w:numPr>
        <w:spacing w:after="0"/>
        <w:ind w:left="3195" w:hanging="360"/>
      </w:pPr>
    </w:p>
    <w:p w14:paraId="69D9B9C7" w14:textId="08A29EB2" w:rsidR="00AB4B85" w:rsidRPr="00A161AC" w:rsidRDefault="00AB4B85" w:rsidP="00AB4B85">
      <w:pPr>
        <w:pStyle w:val="Numberedlist"/>
        <w:numPr>
          <w:ilvl w:val="0"/>
          <w:numId w:val="0"/>
        </w:numPr>
        <w:spacing w:after="0"/>
        <w:ind w:left="3195" w:hanging="360"/>
      </w:pPr>
      <w:r w:rsidRPr="00A161AC">
        <w:rPr>
          <w:noProof/>
          <w:u w:val="single"/>
        </w:rPr>
        <mc:AlternateContent>
          <mc:Choice Requires="wps">
            <w:drawing>
              <wp:anchor distT="0" distB="0" distL="114300" distR="114300" simplePos="0" relativeHeight="251658239" behindDoc="0" locked="0" layoutInCell="1" allowOverlap="1" wp14:anchorId="278E8907" wp14:editId="1E34FD3E">
                <wp:simplePos x="0" y="0"/>
                <wp:positionH relativeFrom="margin">
                  <wp:posOffset>-226994</wp:posOffset>
                </wp:positionH>
                <wp:positionV relativeFrom="paragraph">
                  <wp:posOffset>-2876</wp:posOffset>
                </wp:positionV>
                <wp:extent cx="6793230" cy="3836894"/>
                <wp:effectExtent l="0" t="0" r="0" b="0"/>
                <wp:wrapNone/>
                <wp:docPr id="1723039536" name="Text Box 3"/>
                <wp:cNvGraphicFramePr/>
                <a:graphic xmlns:a="http://schemas.openxmlformats.org/drawingml/2006/main">
                  <a:graphicData uri="http://schemas.microsoft.com/office/word/2010/wordprocessingShape">
                    <wps:wsp>
                      <wps:cNvSpPr txBox="1"/>
                      <wps:spPr>
                        <a:xfrm>
                          <a:off x="0" y="0"/>
                          <a:ext cx="6793230" cy="3836894"/>
                        </a:xfrm>
                        <a:prstGeom prst="rect">
                          <a:avLst/>
                        </a:prstGeom>
                        <a:noFill/>
                        <a:ln w="6350">
                          <a:noFill/>
                        </a:ln>
                      </wps:spPr>
                      <wps:txbx>
                        <w:txbxContent>
                          <w:tbl>
                            <w:tblPr>
                              <w:tblStyle w:val="TableGrid3"/>
                              <w:tblW w:w="9918" w:type="dxa"/>
                              <w:tblLook w:val="04A0" w:firstRow="1" w:lastRow="0" w:firstColumn="1" w:lastColumn="0" w:noHBand="0" w:noVBand="1"/>
                            </w:tblPr>
                            <w:tblGrid>
                              <w:gridCol w:w="1413"/>
                              <w:gridCol w:w="1417"/>
                              <w:gridCol w:w="7088"/>
                            </w:tblGrid>
                            <w:tr w:rsidR="00B25BB1" w:rsidRPr="00B25BB1" w14:paraId="4B6861D0" w14:textId="77777777" w:rsidTr="00007727">
                              <w:trPr>
                                <w:trHeight w:val="1245"/>
                              </w:trPr>
                              <w:tc>
                                <w:tcPr>
                                  <w:tcW w:w="1413" w:type="dxa"/>
                                  <w:vMerge w:val="restart"/>
                                  <w:shd w:val="clear" w:color="auto" w:fill="003087" w:themeFill="accent1"/>
                                </w:tcPr>
                                <w:p w14:paraId="0F2532FB" w14:textId="77777777" w:rsidR="00B25BB1" w:rsidRPr="00B25BB1" w:rsidRDefault="00B25BB1" w:rsidP="00B25BB1">
                                  <w:pPr>
                                    <w:spacing w:after="0" w:line="240" w:lineRule="auto"/>
                                    <w:textboxTightWrap w:val="none"/>
                                    <w:rPr>
                                      <w:rFonts w:cs="Arial"/>
                                      <w:b/>
                                      <w:bCs/>
                                      <w:color w:val="auto"/>
                                      <w:kern w:val="24"/>
                                      <w:sz w:val="20"/>
                                      <w:szCs w:val="20"/>
                                      <w:lang w:eastAsia="en-GB"/>
                                    </w:rPr>
                                  </w:pPr>
                                </w:p>
                                <w:p w14:paraId="21216D8D" w14:textId="77777777" w:rsidR="00B25BB1" w:rsidRPr="00B25BB1" w:rsidRDefault="00B25BB1" w:rsidP="00B25BB1">
                                  <w:pPr>
                                    <w:spacing w:after="0" w:line="240" w:lineRule="auto"/>
                                    <w:textboxTightWrap w:val="none"/>
                                    <w:rPr>
                                      <w:rFonts w:cs="Arial"/>
                                      <w:b/>
                                      <w:bCs/>
                                      <w:color w:val="auto"/>
                                      <w:kern w:val="24"/>
                                      <w:sz w:val="20"/>
                                      <w:szCs w:val="20"/>
                                      <w:lang w:eastAsia="en-GB"/>
                                    </w:rPr>
                                  </w:pPr>
                                </w:p>
                                <w:p w14:paraId="1A746DB3" w14:textId="77777777" w:rsidR="00B25BB1" w:rsidRPr="00B25BB1" w:rsidRDefault="00B25BB1" w:rsidP="00B25BB1">
                                  <w:pPr>
                                    <w:spacing w:after="0" w:line="240" w:lineRule="auto"/>
                                    <w:textboxTightWrap w:val="none"/>
                                    <w:rPr>
                                      <w:rFonts w:cs="Arial"/>
                                      <w:b/>
                                      <w:bCs/>
                                      <w:color w:val="auto"/>
                                      <w:kern w:val="24"/>
                                      <w:sz w:val="20"/>
                                      <w:szCs w:val="20"/>
                                      <w:lang w:eastAsia="en-GB"/>
                                    </w:rPr>
                                  </w:pPr>
                                </w:p>
                                <w:p w14:paraId="7FA13DB2" w14:textId="77777777" w:rsidR="00B25BB1" w:rsidRPr="00B25BB1" w:rsidRDefault="00B25BB1" w:rsidP="00B25BB1">
                                  <w:pPr>
                                    <w:spacing w:after="0" w:line="240" w:lineRule="auto"/>
                                    <w:textboxTightWrap w:val="none"/>
                                    <w:rPr>
                                      <w:rFonts w:cs="Arial"/>
                                      <w:b/>
                                      <w:bCs/>
                                      <w:color w:val="auto"/>
                                      <w:kern w:val="24"/>
                                      <w:sz w:val="20"/>
                                      <w:szCs w:val="20"/>
                                      <w:lang w:eastAsia="en-GB"/>
                                    </w:rPr>
                                  </w:pPr>
                                  <w:r w:rsidRPr="00B25BB1">
                                    <w:rPr>
                                      <w:rFonts w:cs="Arial"/>
                                      <w:b/>
                                      <w:bCs/>
                                      <w:color w:val="auto"/>
                                      <w:kern w:val="24"/>
                                      <w:sz w:val="20"/>
                                      <w:szCs w:val="20"/>
                                      <w:lang w:eastAsia="en-GB"/>
                                    </w:rPr>
                                    <w:t>Oversight Cycle</w:t>
                                  </w:r>
                                </w:p>
                                <w:p w14:paraId="67C8D56A" w14:textId="77777777" w:rsidR="00B25BB1" w:rsidRPr="00B25BB1" w:rsidRDefault="00B25BB1" w:rsidP="00B25BB1">
                                  <w:pPr>
                                    <w:spacing w:after="0" w:line="240" w:lineRule="auto"/>
                                    <w:textboxTightWrap w:val="none"/>
                                    <w:rPr>
                                      <w:rFonts w:ascii="Times New Roman" w:hAnsi="Times New Roman"/>
                                      <w:color w:val="auto"/>
                                      <w:sz w:val="20"/>
                                      <w:szCs w:val="20"/>
                                      <w:lang w:eastAsia="en-GB"/>
                                    </w:rPr>
                                  </w:pPr>
                                </w:p>
                                <w:p w14:paraId="1EB0382C" w14:textId="77777777" w:rsidR="00B25BB1" w:rsidRPr="00B25BB1" w:rsidRDefault="00B25BB1" w:rsidP="00B25BB1">
                                  <w:pPr>
                                    <w:spacing w:after="0" w:line="240" w:lineRule="auto"/>
                                    <w:textboxTightWrap w:val="none"/>
                                    <w:rPr>
                                      <w:rFonts w:ascii="Times New Roman" w:hAnsi="Times New Roman"/>
                                      <w:color w:val="auto"/>
                                      <w:sz w:val="20"/>
                                      <w:szCs w:val="20"/>
                                      <w:lang w:eastAsia="en-GB"/>
                                    </w:rPr>
                                  </w:pPr>
                                  <w:r w:rsidRPr="00B25BB1">
                                    <w:rPr>
                                      <w:rFonts w:cs="Arial"/>
                                      <w:b/>
                                      <w:bCs/>
                                      <w:color w:val="auto"/>
                                      <w:kern w:val="24"/>
                                      <w:sz w:val="20"/>
                                      <w:szCs w:val="20"/>
                                      <w:lang w:eastAsia="en-GB"/>
                                    </w:rPr>
                                    <w:t>(Section 4)</w:t>
                                  </w:r>
                                </w:p>
                                <w:p w14:paraId="6967C2B4" w14:textId="77777777" w:rsidR="00B25BB1" w:rsidRPr="00B25BB1" w:rsidRDefault="00B25BB1" w:rsidP="00B25BB1">
                                  <w:pPr>
                                    <w:spacing w:after="0" w:line="240" w:lineRule="auto"/>
                                    <w:textboxTightWrap w:val="none"/>
                                    <w:rPr>
                                      <w:rFonts w:ascii="Calibri" w:hAnsi="Calibri"/>
                                      <w:color w:val="auto"/>
                                      <w:sz w:val="22"/>
                                      <w:szCs w:val="22"/>
                                    </w:rPr>
                                  </w:pPr>
                                </w:p>
                              </w:tc>
                              <w:tc>
                                <w:tcPr>
                                  <w:tcW w:w="1417" w:type="dxa"/>
                                </w:tcPr>
                                <w:p w14:paraId="4CA5619C" w14:textId="77777777" w:rsidR="00B25BB1" w:rsidRPr="00B25BB1" w:rsidRDefault="00B25BB1" w:rsidP="00B25BB1">
                                  <w:pPr>
                                    <w:spacing w:after="0" w:line="240" w:lineRule="auto"/>
                                    <w:textboxTightWrap w:val="none"/>
                                    <w:rPr>
                                      <w:rFonts w:cs="Arial"/>
                                      <w:b/>
                                      <w:bCs/>
                                      <w:color w:val="auto"/>
                                      <w:kern w:val="24"/>
                                      <w:sz w:val="22"/>
                                      <w:szCs w:val="22"/>
                                      <w:lang w:eastAsia="en-GB"/>
                                    </w:rPr>
                                  </w:pPr>
                                </w:p>
                                <w:p w14:paraId="7F9E7EED" w14:textId="77777777" w:rsidR="00B25BB1" w:rsidRPr="00B25BB1" w:rsidRDefault="00B25BB1" w:rsidP="00B25BB1">
                                  <w:pPr>
                                    <w:spacing w:after="0" w:line="240" w:lineRule="auto"/>
                                    <w:textboxTightWrap w:val="none"/>
                                    <w:rPr>
                                      <w:rFonts w:ascii="Times New Roman" w:hAnsi="Times New Roman"/>
                                      <w:color w:val="auto"/>
                                      <w:sz w:val="22"/>
                                      <w:szCs w:val="22"/>
                                      <w:lang w:eastAsia="en-GB"/>
                                    </w:rPr>
                                  </w:pPr>
                                  <w:r w:rsidRPr="00B25BB1">
                                    <w:rPr>
                                      <w:rFonts w:cs="Arial"/>
                                      <w:b/>
                                      <w:bCs/>
                                      <w:color w:val="auto"/>
                                      <w:kern w:val="24"/>
                                      <w:sz w:val="22"/>
                                      <w:szCs w:val="22"/>
                                      <w:lang w:eastAsia="en-GB"/>
                                    </w:rPr>
                                    <w:t>Integrated Care Boards</w:t>
                                  </w:r>
                                </w:p>
                                <w:p w14:paraId="7E784174" w14:textId="77777777" w:rsidR="00B25BB1" w:rsidRPr="00B25BB1" w:rsidRDefault="00B25BB1" w:rsidP="00B25BB1">
                                  <w:pPr>
                                    <w:spacing w:after="0" w:line="240" w:lineRule="auto"/>
                                    <w:textboxTightWrap w:val="none"/>
                                    <w:rPr>
                                      <w:rFonts w:ascii="Calibri" w:hAnsi="Calibri"/>
                                      <w:color w:val="auto"/>
                                      <w:sz w:val="22"/>
                                      <w:szCs w:val="22"/>
                                    </w:rPr>
                                  </w:pPr>
                                </w:p>
                              </w:tc>
                              <w:tc>
                                <w:tcPr>
                                  <w:tcW w:w="7088" w:type="dxa"/>
                                </w:tcPr>
                                <w:p w14:paraId="66740CFA" w14:textId="77777777" w:rsidR="00B25BB1" w:rsidRPr="00B25BB1" w:rsidRDefault="00B25BB1" w:rsidP="00A161AC">
                                  <w:pPr>
                                    <w:numPr>
                                      <w:ilvl w:val="0"/>
                                      <w:numId w:val="35"/>
                                    </w:numPr>
                                    <w:spacing w:after="120" w:line="256" w:lineRule="auto"/>
                                    <w:ind w:left="182" w:hanging="182"/>
                                    <w:contextualSpacing/>
                                    <w:textboxTightWrap w:val="none"/>
                                    <w:rPr>
                                      <w:rFonts w:ascii="Times New Roman" w:hAnsi="Times New Roman"/>
                                      <w:color w:val="auto"/>
                                      <w:sz w:val="16"/>
                                      <w:szCs w:val="16"/>
                                      <w:lang w:eastAsia="en-GB"/>
                                    </w:rPr>
                                  </w:pPr>
                                  <w:r w:rsidRPr="00B25BB1">
                                    <w:rPr>
                                      <w:rFonts w:cs="Arial"/>
                                      <w:sz w:val="16"/>
                                      <w:szCs w:val="16"/>
                                      <w:lang w:eastAsia="en-GB"/>
                                    </w:rPr>
                                    <w:t>Annual and quarterly </w:t>
                                  </w:r>
                                  <w:r w:rsidRPr="00B25BB1">
                                    <w:rPr>
                                      <w:rFonts w:cs="Arial"/>
                                      <w:b/>
                                      <w:bCs/>
                                      <w:sz w:val="16"/>
                                      <w:szCs w:val="16"/>
                                      <w:lang w:eastAsia="en-GB"/>
                                    </w:rPr>
                                    <w:t>delivery segmentation</w:t>
                                  </w:r>
                                  <w:r w:rsidRPr="00B25BB1">
                                    <w:rPr>
                                      <w:rFonts w:cs="Arial"/>
                                      <w:sz w:val="16"/>
                                      <w:szCs w:val="16"/>
                                      <w:lang w:eastAsia="en-GB"/>
                                    </w:rPr>
                                    <w:t xml:space="preserve"> – a single number (1-4), derived from:</w:t>
                                  </w:r>
                                </w:p>
                                <w:p w14:paraId="0D22CD2E" w14:textId="77777777" w:rsidR="00B25BB1" w:rsidRPr="00B25BB1" w:rsidRDefault="00B25BB1" w:rsidP="00A161AC">
                                  <w:pPr>
                                    <w:numPr>
                                      <w:ilvl w:val="1"/>
                                      <w:numId w:val="36"/>
                                    </w:numPr>
                                    <w:spacing w:after="60" w:line="256" w:lineRule="auto"/>
                                    <w:ind w:left="324" w:hanging="102"/>
                                    <w:contextualSpacing/>
                                    <w:textboxTightWrap w:val="none"/>
                                    <w:rPr>
                                      <w:rFonts w:ascii="Times New Roman" w:hAnsi="Times New Roman"/>
                                      <w:color w:val="auto"/>
                                      <w:sz w:val="16"/>
                                      <w:szCs w:val="16"/>
                                      <w:lang w:eastAsia="en-GB"/>
                                    </w:rPr>
                                  </w:pPr>
                                  <w:r w:rsidRPr="00B25BB1">
                                    <w:rPr>
                                      <w:rFonts w:cs="Arial"/>
                                      <w:sz w:val="16"/>
                                      <w:szCs w:val="16"/>
                                      <w:lang w:eastAsia="en-GB"/>
                                    </w:rPr>
                                    <w:t>ongoing review of performance and annualised performance against ICB’s oversight metrics</w:t>
                                  </w:r>
                                </w:p>
                                <w:p w14:paraId="0B2628F1" w14:textId="77777777" w:rsidR="00B25BB1" w:rsidRPr="00B25BB1" w:rsidRDefault="00B25BB1" w:rsidP="00A161AC">
                                  <w:pPr>
                                    <w:numPr>
                                      <w:ilvl w:val="1"/>
                                      <w:numId w:val="36"/>
                                    </w:numPr>
                                    <w:spacing w:after="60" w:line="256" w:lineRule="auto"/>
                                    <w:ind w:left="324" w:hanging="102"/>
                                    <w:contextualSpacing/>
                                    <w:textboxTightWrap w:val="none"/>
                                    <w:rPr>
                                      <w:rFonts w:ascii="Times New Roman" w:hAnsi="Times New Roman"/>
                                      <w:color w:val="auto"/>
                                      <w:sz w:val="16"/>
                                      <w:szCs w:val="16"/>
                                      <w:lang w:eastAsia="en-GB"/>
                                    </w:rPr>
                                  </w:pPr>
                                  <w:r w:rsidRPr="00B25BB1">
                                    <w:rPr>
                                      <w:rFonts w:cs="Arial"/>
                                      <w:sz w:val="16"/>
                                      <w:szCs w:val="16"/>
                                      <w:lang w:eastAsia="en-GB"/>
                                    </w:rPr>
                                    <w:t>consideration of wider system delivery across specific areas (e.g. finance, access)</w:t>
                                  </w:r>
                                </w:p>
                                <w:p w14:paraId="51FD671D" w14:textId="77777777" w:rsidR="00B25BB1" w:rsidRPr="00B25BB1" w:rsidRDefault="00B25BB1" w:rsidP="00A161AC">
                                  <w:pPr>
                                    <w:numPr>
                                      <w:ilvl w:val="1"/>
                                      <w:numId w:val="36"/>
                                    </w:numPr>
                                    <w:spacing w:after="60" w:line="256" w:lineRule="auto"/>
                                    <w:ind w:left="324" w:hanging="102"/>
                                    <w:contextualSpacing/>
                                    <w:textboxTightWrap w:val="none"/>
                                    <w:rPr>
                                      <w:rFonts w:ascii="Times New Roman" w:hAnsi="Times New Roman"/>
                                      <w:color w:val="auto"/>
                                      <w:sz w:val="16"/>
                                      <w:szCs w:val="16"/>
                                      <w:lang w:eastAsia="en-GB"/>
                                    </w:rPr>
                                  </w:pPr>
                                  <w:r w:rsidRPr="00B25BB1">
                                    <w:rPr>
                                      <w:rFonts w:cs="Arial"/>
                                      <w:sz w:val="16"/>
                                      <w:szCs w:val="16"/>
                                      <w:lang w:eastAsia="en-GB"/>
                                    </w:rPr>
                                    <w:t>incorporating the ICB capability assessment (see below)</w:t>
                                  </w:r>
                                </w:p>
                                <w:p w14:paraId="01699AE8" w14:textId="77777777" w:rsidR="00B25BB1" w:rsidRPr="00B25BB1" w:rsidRDefault="00B25BB1" w:rsidP="00A161AC">
                                  <w:pPr>
                                    <w:numPr>
                                      <w:ilvl w:val="4"/>
                                      <w:numId w:val="34"/>
                                    </w:numPr>
                                    <w:spacing w:after="120" w:line="256" w:lineRule="auto"/>
                                    <w:ind w:left="182" w:hanging="182"/>
                                    <w:contextualSpacing/>
                                    <w:textboxTightWrap w:val="none"/>
                                    <w:rPr>
                                      <w:rFonts w:ascii="Times New Roman" w:hAnsi="Times New Roman"/>
                                      <w:color w:val="auto"/>
                                      <w:sz w:val="16"/>
                                      <w:szCs w:val="16"/>
                                      <w:lang w:eastAsia="en-GB"/>
                                    </w:rPr>
                                  </w:pPr>
                                  <w:r w:rsidRPr="00B25BB1">
                                    <w:rPr>
                                      <w:rFonts w:cs="Arial"/>
                                      <w:sz w:val="16"/>
                                      <w:szCs w:val="16"/>
                                      <w:lang w:eastAsia="en-GB"/>
                                    </w:rPr>
                                    <w:t>All ICB segmentations to be reviewed and published by NHSE following discussions with the ICB.</w:t>
                                  </w:r>
                                </w:p>
                              </w:tc>
                            </w:tr>
                            <w:tr w:rsidR="00B25BB1" w:rsidRPr="00B25BB1" w14:paraId="6E526B7F" w14:textId="77777777" w:rsidTr="00007727">
                              <w:trPr>
                                <w:trHeight w:val="1128"/>
                              </w:trPr>
                              <w:tc>
                                <w:tcPr>
                                  <w:tcW w:w="1413" w:type="dxa"/>
                                  <w:vMerge/>
                                  <w:shd w:val="clear" w:color="auto" w:fill="003087" w:themeFill="accent1"/>
                                </w:tcPr>
                                <w:p w14:paraId="7E7D56DB" w14:textId="77777777" w:rsidR="00B25BB1" w:rsidRPr="00B25BB1" w:rsidRDefault="00B25BB1" w:rsidP="00B25BB1">
                                  <w:pPr>
                                    <w:spacing w:after="0" w:line="240" w:lineRule="auto"/>
                                    <w:textboxTightWrap w:val="none"/>
                                    <w:rPr>
                                      <w:rFonts w:ascii="Calibri" w:hAnsi="Calibri"/>
                                      <w:color w:val="auto"/>
                                      <w:sz w:val="22"/>
                                      <w:szCs w:val="22"/>
                                    </w:rPr>
                                  </w:pPr>
                                </w:p>
                              </w:tc>
                              <w:tc>
                                <w:tcPr>
                                  <w:tcW w:w="1417" w:type="dxa"/>
                                </w:tcPr>
                                <w:p w14:paraId="297A0340" w14:textId="77777777" w:rsidR="00B25BB1" w:rsidRPr="00B25BB1" w:rsidRDefault="00B25BB1" w:rsidP="00B25BB1">
                                  <w:pPr>
                                    <w:spacing w:after="0" w:line="240" w:lineRule="auto"/>
                                    <w:textboxTightWrap w:val="none"/>
                                    <w:rPr>
                                      <w:rFonts w:ascii="Calibri" w:hAnsi="Calibri"/>
                                      <w:color w:val="auto"/>
                                      <w:sz w:val="22"/>
                                      <w:szCs w:val="22"/>
                                    </w:rPr>
                                  </w:pPr>
                                </w:p>
                                <w:p w14:paraId="48DB731C" w14:textId="77777777" w:rsidR="00B25BB1" w:rsidRPr="00B25BB1" w:rsidRDefault="00B25BB1" w:rsidP="00B25BB1">
                                  <w:pPr>
                                    <w:spacing w:after="0" w:line="240" w:lineRule="auto"/>
                                    <w:ind w:left="331" w:hanging="331"/>
                                    <w:textboxTightWrap w:val="none"/>
                                    <w:rPr>
                                      <w:rFonts w:cs="Arial"/>
                                      <w:b/>
                                      <w:bCs/>
                                      <w:kern w:val="24"/>
                                      <w:sz w:val="22"/>
                                      <w:szCs w:val="22"/>
                                      <w:lang w:eastAsia="en-GB"/>
                                    </w:rPr>
                                  </w:pPr>
                                </w:p>
                                <w:p w14:paraId="25DBD03E" w14:textId="77777777" w:rsidR="00B25BB1" w:rsidRPr="00B25BB1" w:rsidRDefault="00B25BB1" w:rsidP="00B25BB1">
                                  <w:pPr>
                                    <w:spacing w:after="0" w:line="240" w:lineRule="auto"/>
                                    <w:ind w:left="331" w:hanging="331"/>
                                    <w:textboxTightWrap w:val="none"/>
                                    <w:rPr>
                                      <w:rFonts w:ascii="Times New Roman" w:hAnsi="Times New Roman"/>
                                      <w:color w:val="auto"/>
                                      <w:sz w:val="22"/>
                                      <w:szCs w:val="22"/>
                                      <w:lang w:eastAsia="en-GB"/>
                                    </w:rPr>
                                  </w:pPr>
                                  <w:r w:rsidRPr="00B25BB1">
                                    <w:rPr>
                                      <w:rFonts w:cs="Arial"/>
                                      <w:b/>
                                      <w:bCs/>
                                      <w:kern w:val="24"/>
                                      <w:sz w:val="22"/>
                                      <w:szCs w:val="22"/>
                                      <w:lang w:eastAsia="en-GB"/>
                                    </w:rPr>
                                    <w:t>Providers</w:t>
                                  </w:r>
                                </w:p>
                                <w:p w14:paraId="7CD0908B" w14:textId="77777777" w:rsidR="00B25BB1" w:rsidRPr="00B25BB1" w:rsidRDefault="00B25BB1" w:rsidP="00B25BB1">
                                  <w:pPr>
                                    <w:spacing w:after="0" w:line="240" w:lineRule="auto"/>
                                    <w:textboxTightWrap w:val="none"/>
                                    <w:rPr>
                                      <w:rFonts w:ascii="Calibri" w:hAnsi="Calibri"/>
                                      <w:color w:val="auto"/>
                                      <w:sz w:val="22"/>
                                      <w:szCs w:val="22"/>
                                    </w:rPr>
                                  </w:pPr>
                                </w:p>
                              </w:tc>
                              <w:tc>
                                <w:tcPr>
                                  <w:tcW w:w="7088" w:type="dxa"/>
                                </w:tcPr>
                                <w:p w14:paraId="68462346" w14:textId="77777777" w:rsidR="00B25BB1" w:rsidRPr="00B25BB1" w:rsidRDefault="00B25BB1" w:rsidP="00A161AC">
                                  <w:pPr>
                                    <w:numPr>
                                      <w:ilvl w:val="0"/>
                                      <w:numId w:val="32"/>
                                    </w:numPr>
                                    <w:spacing w:after="120" w:line="256" w:lineRule="auto"/>
                                    <w:ind w:left="284" w:hanging="284"/>
                                    <w:contextualSpacing/>
                                    <w:textboxTightWrap w:val="none"/>
                                    <w:rPr>
                                      <w:rFonts w:ascii="Times New Roman" w:hAnsi="Times New Roman"/>
                                      <w:color w:val="auto"/>
                                      <w:sz w:val="16"/>
                                      <w:szCs w:val="16"/>
                                      <w:lang w:eastAsia="en-GB"/>
                                    </w:rPr>
                                  </w:pPr>
                                  <w:r w:rsidRPr="00B25BB1">
                                    <w:rPr>
                                      <w:rFonts w:cs="Arial"/>
                                      <w:sz w:val="16"/>
                                      <w:szCs w:val="16"/>
                                      <w:lang w:eastAsia="en-GB"/>
                                    </w:rPr>
                                    <w:t xml:space="preserve">Quarterly </w:t>
                                  </w:r>
                                  <w:r w:rsidRPr="00B25BB1">
                                    <w:rPr>
                                      <w:rFonts w:cs="Arial"/>
                                      <w:b/>
                                      <w:bCs/>
                                      <w:sz w:val="16"/>
                                      <w:szCs w:val="16"/>
                                      <w:lang w:eastAsia="en-GB"/>
                                    </w:rPr>
                                    <w:t>delivery segmentation</w:t>
                                  </w:r>
                                  <w:r w:rsidRPr="00B25BB1">
                                    <w:rPr>
                                      <w:rFonts w:cs="Arial"/>
                                      <w:sz w:val="16"/>
                                      <w:szCs w:val="16"/>
                                      <w:lang w:eastAsia="en-GB"/>
                                    </w:rPr>
                                    <w:t xml:space="preserve"> – a single number (1-4), based on:</w:t>
                                  </w:r>
                                </w:p>
                                <w:p w14:paraId="65C41B28" w14:textId="77777777" w:rsidR="00B25BB1" w:rsidRPr="00B25BB1" w:rsidRDefault="00B25BB1" w:rsidP="00A161AC">
                                  <w:pPr>
                                    <w:numPr>
                                      <w:ilvl w:val="0"/>
                                      <w:numId w:val="32"/>
                                    </w:numPr>
                                    <w:tabs>
                                      <w:tab w:val="left" w:pos="567"/>
                                    </w:tabs>
                                    <w:spacing w:after="60" w:line="256" w:lineRule="auto"/>
                                    <w:contextualSpacing/>
                                    <w:textboxTightWrap w:val="none"/>
                                    <w:rPr>
                                      <w:rFonts w:ascii="Times New Roman" w:hAnsi="Times New Roman"/>
                                      <w:color w:val="auto"/>
                                      <w:sz w:val="16"/>
                                      <w:szCs w:val="16"/>
                                      <w:lang w:eastAsia="en-GB"/>
                                    </w:rPr>
                                  </w:pPr>
                                  <w:r w:rsidRPr="00B25BB1">
                                    <w:rPr>
                                      <w:rFonts w:cs="Arial"/>
                                      <w:sz w:val="16"/>
                                      <w:szCs w:val="16"/>
                                      <w:lang w:eastAsia="en-GB"/>
                                    </w:rPr>
                                    <w:t xml:space="preserve">ongoing review of performance and annualised performance against provider oversight metrics </w:t>
                                  </w:r>
                                </w:p>
                                <w:p w14:paraId="2F52A87F" w14:textId="77777777" w:rsidR="00B25BB1" w:rsidRPr="00B25BB1" w:rsidRDefault="00B25BB1" w:rsidP="00A161AC">
                                  <w:pPr>
                                    <w:numPr>
                                      <w:ilvl w:val="0"/>
                                      <w:numId w:val="32"/>
                                    </w:numPr>
                                    <w:tabs>
                                      <w:tab w:val="left" w:pos="567"/>
                                    </w:tabs>
                                    <w:spacing w:after="60" w:line="256" w:lineRule="auto"/>
                                    <w:contextualSpacing/>
                                    <w:textboxTightWrap w:val="none"/>
                                    <w:rPr>
                                      <w:rFonts w:ascii="Times New Roman" w:hAnsi="Times New Roman"/>
                                      <w:color w:val="auto"/>
                                      <w:sz w:val="16"/>
                                      <w:szCs w:val="16"/>
                                      <w:lang w:eastAsia="en-GB"/>
                                    </w:rPr>
                                  </w:pPr>
                                  <w:r w:rsidRPr="00B25BB1">
                                    <w:rPr>
                                      <w:rFonts w:cs="Arial"/>
                                      <w:sz w:val="16"/>
                                      <w:szCs w:val="16"/>
                                      <w:lang w:eastAsia="en-GB"/>
                                    </w:rPr>
                                    <w:t>a consideration of wider system delivery across specific areas (e.g. finance, access)</w:t>
                                  </w:r>
                                </w:p>
                                <w:p w14:paraId="1116D73F" w14:textId="77777777" w:rsidR="00B25BB1" w:rsidRPr="00B25BB1" w:rsidRDefault="00B25BB1" w:rsidP="00A161AC">
                                  <w:pPr>
                                    <w:numPr>
                                      <w:ilvl w:val="0"/>
                                      <w:numId w:val="32"/>
                                    </w:numPr>
                                    <w:tabs>
                                      <w:tab w:val="left" w:pos="567"/>
                                    </w:tabs>
                                    <w:spacing w:after="60" w:line="256" w:lineRule="auto"/>
                                    <w:contextualSpacing/>
                                    <w:textboxTightWrap w:val="none"/>
                                    <w:rPr>
                                      <w:rFonts w:ascii="Times New Roman" w:hAnsi="Times New Roman"/>
                                      <w:color w:val="auto"/>
                                      <w:sz w:val="16"/>
                                      <w:szCs w:val="16"/>
                                      <w:lang w:eastAsia="en-GB"/>
                                    </w:rPr>
                                  </w:pPr>
                                  <w:r w:rsidRPr="00B25BB1">
                                    <w:rPr>
                                      <w:rFonts w:cs="Arial"/>
                                      <w:sz w:val="16"/>
                                      <w:szCs w:val="16"/>
                                      <w:lang w:eastAsia="en-GB"/>
                                    </w:rPr>
                                    <w:t>incorporating our views of the provider’s capability</w:t>
                                  </w:r>
                                </w:p>
                                <w:p w14:paraId="344C4DD3" w14:textId="77777777" w:rsidR="00B25BB1" w:rsidRPr="00B25BB1" w:rsidRDefault="00B25BB1" w:rsidP="00A161AC">
                                  <w:pPr>
                                    <w:numPr>
                                      <w:ilvl w:val="0"/>
                                      <w:numId w:val="32"/>
                                    </w:numPr>
                                    <w:spacing w:after="60" w:line="256" w:lineRule="auto"/>
                                    <w:ind w:left="284" w:hanging="284"/>
                                    <w:contextualSpacing/>
                                    <w:textboxTightWrap w:val="none"/>
                                    <w:rPr>
                                      <w:rFonts w:ascii="Times New Roman" w:hAnsi="Times New Roman"/>
                                      <w:color w:val="auto"/>
                                      <w:sz w:val="16"/>
                                      <w:szCs w:val="16"/>
                                      <w:lang w:eastAsia="en-GB"/>
                                    </w:rPr>
                                  </w:pPr>
                                  <w:r w:rsidRPr="00B25BB1">
                                    <w:rPr>
                                      <w:rFonts w:cs="Arial"/>
                                      <w:sz w:val="16"/>
                                      <w:szCs w:val="16"/>
                                      <w:lang w:eastAsia="en-GB"/>
                                    </w:rPr>
                                    <w:t>All provider segmentations to be reviewed and published by NHSE following discussions with the ICB.</w:t>
                                  </w:r>
                                </w:p>
                              </w:tc>
                            </w:tr>
                          </w:tbl>
                          <w:tbl>
                            <w:tblPr>
                              <w:tblStyle w:val="TableGrid4"/>
                              <w:tblW w:w="9918" w:type="dxa"/>
                              <w:tblLook w:val="04A0" w:firstRow="1" w:lastRow="0" w:firstColumn="1" w:lastColumn="0" w:noHBand="0" w:noVBand="1"/>
                            </w:tblPr>
                            <w:tblGrid>
                              <w:gridCol w:w="1395"/>
                              <w:gridCol w:w="1435"/>
                              <w:gridCol w:w="7088"/>
                            </w:tblGrid>
                            <w:tr w:rsidR="004A22FB" w14:paraId="3611F270" w14:textId="77777777" w:rsidTr="00007727">
                              <w:trPr>
                                <w:trHeight w:val="1137"/>
                              </w:trPr>
                              <w:tc>
                                <w:tcPr>
                                  <w:tcW w:w="1395" w:type="dxa"/>
                                  <w:vMerge w:val="restart"/>
                                  <w:shd w:val="clear" w:color="auto" w:fill="003087" w:themeFill="accent1"/>
                                </w:tcPr>
                                <w:p w14:paraId="6990E1CE" w14:textId="77777777" w:rsidR="004A22FB" w:rsidRPr="00007727" w:rsidRDefault="004A22FB" w:rsidP="004A22FB">
                                  <w:pPr>
                                    <w:rPr>
                                      <w:rFonts w:eastAsia="+mn-ea" w:cs="Arial"/>
                                      <w:b/>
                                      <w:bCs/>
                                      <w:color w:val="FFFFFF" w:themeColor="text1"/>
                                      <w:kern w:val="24"/>
                                      <w:sz w:val="16"/>
                                      <w:szCs w:val="16"/>
                                      <w:lang w:eastAsia="en-GB"/>
                                      <w14:ligatures w14:val="none"/>
                                    </w:rPr>
                                  </w:pPr>
                                </w:p>
                                <w:p w14:paraId="76337B11" w14:textId="77777777" w:rsidR="004A22FB" w:rsidRPr="00007727" w:rsidRDefault="004A22FB" w:rsidP="004A22FB">
                                  <w:pPr>
                                    <w:spacing w:after="0" w:line="240" w:lineRule="auto"/>
                                    <w:rPr>
                                      <w:rFonts w:eastAsia="+mn-ea" w:cs="Arial"/>
                                      <w:b/>
                                      <w:bCs/>
                                      <w:color w:val="FFFFFF" w:themeColor="text1"/>
                                      <w:kern w:val="24"/>
                                      <w:sz w:val="20"/>
                                      <w:szCs w:val="20"/>
                                      <w:lang w:eastAsia="en-GB"/>
                                      <w14:ligatures w14:val="none"/>
                                    </w:rPr>
                                  </w:pPr>
                                  <w:r w:rsidRPr="00007727">
                                    <w:rPr>
                                      <w:rFonts w:eastAsia="+mn-ea" w:cs="Arial"/>
                                      <w:b/>
                                      <w:bCs/>
                                      <w:color w:val="FFFFFF" w:themeColor="text1"/>
                                      <w:kern w:val="24"/>
                                      <w:sz w:val="20"/>
                                      <w:szCs w:val="20"/>
                                      <w:lang w:eastAsia="en-GB"/>
                                      <w14:ligatures w14:val="none"/>
                                    </w:rPr>
                                    <w:t>Assessment</w:t>
                                  </w:r>
                                </w:p>
                                <w:p w14:paraId="30053636" w14:textId="77777777" w:rsidR="004A22FB" w:rsidRPr="00007727" w:rsidRDefault="004A22FB" w:rsidP="004A22FB">
                                  <w:pPr>
                                    <w:spacing w:after="0" w:line="240" w:lineRule="auto"/>
                                    <w:rPr>
                                      <w:rFonts w:eastAsia="+mn-ea" w:cs="Arial"/>
                                      <w:b/>
                                      <w:bCs/>
                                      <w:color w:val="FFFFFF" w:themeColor="text1"/>
                                      <w:kern w:val="24"/>
                                      <w:sz w:val="20"/>
                                      <w:szCs w:val="20"/>
                                      <w:lang w:eastAsia="en-GB"/>
                                      <w14:ligatures w14:val="none"/>
                                    </w:rPr>
                                  </w:pPr>
                                  <w:r w:rsidRPr="00007727">
                                    <w:rPr>
                                      <w:rFonts w:eastAsia="+mn-ea" w:cs="Arial"/>
                                      <w:b/>
                                      <w:bCs/>
                                      <w:color w:val="FFFFFF" w:themeColor="text1"/>
                                      <w:kern w:val="24"/>
                                      <w:sz w:val="20"/>
                                      <w:szCs w:val="20"/>
                                      <w:lang w:eastAsia="en-GB"/>
                                      <w14:ligatures w14:val="none"/>
                                    </w:rPr>
                                    <w:t>Cycle</w:t>
                                  </w:r>
                                </w:p>
                                <w:p w14:paraId="52FD72FC" w14:textId="77777777" w:rsidR="004A22FB" w:rsidRPr="00007727" w:rsidRDefault="004A22FB" w:rsidP="004A22FB">
                                  <w:pPr>
                                    <w:spacing w:after="0" w:line="240" w:lineRule="auto"/>
                                    <w:rPr>
                                      <w:rFonts w:ascii="Times New Roman" w:eastAsia="Times New Roman" w:hAnsi="Times New Roman" w:cs="Times New Roman"/>
                                      <w:color w:val="FFFFFF" w:themeColor="text1"/>
                                      <w:kern w:val="0"/>
                                      <w:sz w:val="20"/>
                                      <w:szCs w:val="20"/>
                                      <w:lang w:eastAsia="en-GB"/>
                                      <w14:ligatures w14:val="none"/>
                                    </w:rPr>
                                  </w:pPr>
                                </w:p>
                                <w:p w14:paraId="52996249" w14:textId="287B5783" w:rsidR="004A22FB" w:rsidRPr="00007727" w:rsidRDefault="004A22FB" w:rsidP="004A22FB">
                                  <w:pPr>
                                    <w:spacing w:after="0" w:line="240" w:lineRule="auto"/>
                                    <w:rPr>
                                      <w:rFonts w:ascii="Times New Roman" w:eastAsia="Times New Roman" w:hAnsi="Times New Roman" w:cs="Times New Roman"/>
                                      <w:color w:val="FFFFFF" w:themeColor="text1"/>
                                      <w:kern w:val="0"/>
                                      <w:sz w:val="20"/>
                                      <w:szCs w:val="20"/>
                                      <w:lang w:eastAsia="en-GB"/>
                                      <w14:ligatures w14:val="none"/>
                                    </w:rPr>
                                  </w:pPr>
                                  <w:r w:rsidRPr="00007727">
                                    <w:rPr>
                                      <w:rFonts w:eastAsia="+mn-ea" w:cs="Arial"/>
                                      <w:b/>
                                      <w:bCs/>
                                      <w:color w:val="FFFFFF" w:themeColor="text1"/>
                                      <w:kern w:val="24"/>
                                      <w:sz w:val="20"/>
                                      <w:szCs w:val="20"/>
                                      <w:lang w:eastAsia="en-GB"/>
                                      <w14:ligatures w14:val="none"/>
                                    </w:rPr>
                                    <w:t>(Section 5)</w:t>
                                  </w:r>
                                </w:p>
                              </w:tc>
                              <w:tc>
                                <w:tcPr>
                                  <w:tcW w:w="1435" w:type="dxa"/>
                                </w:tcPr>
                                <w:p w14:paraId="7AE77BFD" w14:textId="77777777" w:rsidR="004A22FB" w:rsidRDefault="004A22FB" w:rsidP="004A22FB">
                                  <w:pPr>
                                    <w:pStyle w:val="NormalWeb"/>
                                    <w:spacing w:before="0" w:beforeAutospacing="0" w:after="0" w:afterAutospacing="0"/>
                                    <w:rPr>
                                      <w:rFonts w:ascii="Arial" w:eastAsia="+mn-ea" w:hAnsi="Arial" w:cs="Arial"/>
                                      <w:b/>
                                      <w:bCs/>
                                      <w:kern w:val="24"/>
                                      <w:sz w:val="22"/>
                                      <w:szCs w:val="22"/>
                                    </w:rPr>
                                  </w:pPr>
                                </w:p>
                                <w:p w14:paraId="262E5FE0" w14:textId="6B0005B2" w:rsidR="004A22FB" w:rsidRPr="00550CC6" w:rsidRDefault="004A22FB" w:rsidP="004A22FB">
                                  <w:pPr>
                                    <w:pStyle w:val="NormalWeb"/>
                                    <w:spacing w:before="0" w:beforeAutospacing="0" w:after="0" w:afterAutospacing="0"/>
                                    <w:rPr>
                                      <w:sz w:val="22"/>
                                      <w:szCs w:val="22"/>
                                    </w:rPr>
                                  </w:pPr>
                                  <w:r w:rsidRPr="00550CC6">
                                    <w:rPr>
                                      <w:rFonts w:ascii="Arial" w:eastAsia="+mn-ea" w:hAnsi="Arial" w:cs="Arial"/>
                                      <w:b/>
                                      <w:bCs/>
                                      <w:kern w:val="24"/>
                                      <w:sz w:val="22"/>
                                      <w:szCs w:val="22"/>
                                    </w:rPr>
                                    <w:t>Integrated Care Boards</w:t>
                                  </w:r>
                                </w:p>
                              </w:tc>
                              <w:tc>
                                <w:tcPr>
                                  <w:tcW w:w="7088" w:type="dxa"/>
                                </w:tcPr>
                                <w:p w14:paraId="5C20DFFA" w14:textId="77777777" w:rsidR="004A22FB" w:rsidRPr="00273DB9" w:rsidRDefault="004A22FB" w:rsidP="00A161AC">
                                  <w:pPr>
                                    <w:numPr>
                                      <w:ilvl w:val="0"/>
                                      <w:numId w:val="33"/>
                                    </w:numPr>
                                    <w:spacing w:after="80" w:line="256" w:lineRule="auto"/>
                                    <w:ind w:left="284" w:hanging="217"/>
                                    <w:contextualSpacing/>
                                    <w:rPr>
                                      <w:rFonts w:ascii="Times New Roman" w:eastAsia="Times New Roman" w:hAnsi="Times New Roman" w:cs="Times New Roman"/>
                                      <w:kern w:val="0"/>
                                      <w:sz w:val="16"/>
                                      <w:szCs w:val="16"/>
                                      <w:lang w:eastAsia="en-GB"/>
                                      <w14:ligatures w14:val="none"/>
                                    </w:rPr>
                                  </w:pPr>
                                  <w:r w:rsidRPr="00273DB9">
                                    <w:rPr>
                                      <w:rFonts w:eastAsia="Calibri" w:cs="Arial"/>
                                      <w:sz w:val="16"/>
                                      <w:szCs w:val="16"/>
                                      <w:lang w:eastAsia="en-GB"/>
                                      <w14:ligatures w14:val="none"/>
                                    </w:rPr>
                                    <w:t>Based on assessment of the ICB’s ability across 6 functional areas</w:t>
                                  </w:r>
                                </w:p>
                                <w:p w14:paraId="743D5E39" w14:textId="77777777" w:rsidR="004A22FB" w:rsidRPr="00273DB9" w:rsidRDefault="004A22FB" w:rsidP="00A161AC">
                                  <w:pPr>
                                    <w:numPr>
                                      <w:ilvl w:val="0"/>
                                      <w:numId w:val="33"/>
                                    </w:numPr>
                                    <w:spacing w:after="80" w:line="256" w:lineRule="auto"/>
                                    <w:ind w:left="284" w:hanging="217"/>
                                    <w:contextualSpacing/>
                                    <w:rPr>
                                      <w:rFonts w:ascii="Times New Roman" w:eastAsia="Times New Roman" w:hAnsi="Times New Roman" w:cs="Times New Roman"/>
                                      <w:kern w:val="0"/>
                                      <w:sz w:val="16"/>
                                      <w:szCs w:val="16"/>
                                      <w:lang w:eastAsia="en-GB"/>
                                      <w14:ligatures w14:val="none"/>
                                    </w:rPr>
                                  </w:pPr>
                                  <w:r w:rsidRPr="00273DB9">
                                    <w:rPr>
                                      <w:rFonts w:eastAsia="Calibri" w:cs="Arial"/>
                                      <w:sz w:val="16"/>
                                      <w:szCs w:val="16"/>
                                      <w:lang w:eastAsia="en-GB"/>
                                      <w14:ligatures w14:val="none"/>
                                    </w:rPr>
                                    <w:t>Incorporating ICB self-assessment, CQC and stakeholders’ views</w:t>
                                  </w:r>
                                </w:p>
                                <w:p w14:paraId="715499D4" w14:textId="77777777" w:rsidR="004A22FB" w:rsidRPr="00273DB9" w:rsidRDefault="004A22FB" w:rsidP="00A161AC">
                                  <w:pPr>
                                    <w:numPr>
                                      <w:ilvl w:val="0"/>
                                      <w:numId w:val="33"/>
                                    </w:numPr>
                                    <w:spacing w:after="80" w:line="256" w:lineRule="auto"/>
                                    <w:ind w:left="284" w:hanging="218"/>
                                    <w:contextualSpacing/>
                                    <w:rPr>
                                      <w:rFonts w:ascii="Times New Roman" w:eastAsia="Times New Roman" w:hAnsi="Times New Roman" w:cs="Times New Roman"/>
                                      <w:kern w:val="0"/>
                                      <w:sz w:val="16"/>
                                      <w:szCs w:val="16"/>
                                      <w:lang w:eastAsia="en-GB"/>
                                      <w14:ligatures w14:val="none"/>
                                    </w:rPr>
                                  </w:pPr>
                                  <w:r w:rsidRPr="00273DB9">
                                    <w:rPr>
                                      <w:rFonts w:eastAsia="Calibri" w:cs="Arial"/>
                                      <w:sz w:val="16"/>
                                      <w:szCs w:val="16"/>
                                      <w:lang w:eastAsia="en-GB"/>
                                      <w14:ligatures w14:val="none"/>
                                    </w:rPr>
                                    <w:t>Resulting in </w:t>
                                  </w:r>
                                  <w:r w:rsidRPr="00273DB9">
                                    <w:rPr>
                                      <w:rFonts w:eastAsia="Calibri" w:cs="Arial"/>
                                      <w:b/>
                                      <w:bCs/>
                                      <w:sz w:val="16"/>
                                      <w:szCs w:val="16"/>
                                      <w:lang w:eastAsia="en-GB"/>
                                      <w14:ligatures w14:val="none"/>
                                    </w:rPr>
                                    <w:t>an overall capability rating</w:t>
                                  </w:r>
                                  <w:r w:rsidRPr="00273DB9">
                                    <w:rPr>
                                      <w:rFonts w:eastAsia="Calibri" w:cs="Arial"/>
                                      <w:sz w:val="16"/>
                                      <w:szCs w:val="16"/>
                                      <w:lang w:eastAsia="en-GB"/>
                                      <w14:ligatures w14:val="none"/>
                                    </w:rPr>
                                    <w:t xml:space="preserve"> – ‘insufficient progress’ / ‘progressing’ / ‘achieving’ / ‘excelling’</w:t>
                                  </w:r>
                                </w:p>
                                <w:p w14:paraId="559E5439" w14:textId="77777777" w:rsidR="004A22FB" w:rsidRPr="00273DB9" w:rsidRDefault="004A22FB" w:rsidP="00A161AC">
                                  <w:pPr>
                                    <w:numPr>
                                      <w:ilvl w:val="0"/>
                                      <w:numId w:val="33"/>
                                    </w:numPr>
                                    <w:spacing w:after="80" w:line="256" w:lineRule="auto"/>
                                    <w:ind w:left="284" w:hanging="218"/>
                                    <w:contextualSpacing/>
                                    <w:rPr>
                                      <w:rFonts w:ascii="Times New Roman" w:eastAsia="Times New Roman" w:hAnsi="Times New Roman" w:cs="Times New Roman"/>
                                      <w:kern w:val="0"/>
                                      <w:sz w:val="16"/>
                                      <w:szCs w:val="16"/>
                                      <w:lang w:eastAsia="en-GB"/>
                                      <w14:ligatures w14:val="none"/>
                                    </w:rPr>
                                  </w:pPr>
                                  <w:r w:rsidRPr="00273DB9">
                                    <w:rPr>
                                      <w:rFonts w:eastAsia="Calibri" w:cs="Arial"/>
                                      <w:sz w:val="16"/>
                                      <w:szCs w:val="16"/>
                                      <w:lang w:eastAsia="en-GB"/>
                                      <w14:ligatures w14:val="none"/>
                                    </w:rPr>
                                    <w:t>We will use the capability assessment to moderate the ICB’s delivery segment.</w:t>
                                  </w:r>
                                </w:p>
                              </w:tc>
                            </w:tr>
                            <w:tr w:rsidR="004A22FB" w14:paraId="25C37181" w14:textId="77777777" w:rsidTr="00007727">
                              <w:trPr>
                                <w:trHeight w:val="1128"/>
                              </w:trPr>
                              <w:tc>
                                <w:tcPr>
                                  <w:tcW w:w="1395" w:type="dxa"/>
                                  <w:vMerge/>
                                  <w:shd w:val="clear" w:color="auto" w:fill="003087" w:themeFill="accent1"/>
                                </w:tcPr>
                                <w:p w14:paraId="698E8375" w14:textId="77777777" w:rsidR="004A22FB" w:rsidRDefault="004A22FB" w:rsidP="004A22FB"/>
                              </w:tc>
                              <w:tc>
                                <w:tcPr>
                                  <w:tcW w:w="1435" w:type="dxa"/>
                                </w:tcPr>
                                <w:p w14:paraId="3EA32D85" w14:textId="77777777" w:rsidR="004A22FB" w:rsidRDefault="004A22FB" w:rsidP="004A22FB">
                                  <w:pPr>
                                    <w:pStyle w:val="NormalWeb"/>
                                    <w:spacing w:before="0" w:beforeAutospacing="0" w:after="0" w:afterAutospacing="0"/>
                                    <w:rPr>
                                      <w:rFonts w:ascii="Arial" w:eastAsia="+mn-ea" w:hAnsi="Arial" w:cs="Arial"/>
                                      <w:b/>
                                      <w:bCs/>
                                      <w:color w:val="000000"/>
                                      <w:kern w:val="24"/>
                                      <w:sz w:val="22"/>
                                      <w:szCs w:val="22"/>
                                    </w:rPr>
                                  </w:pPr>
                                </w:p>
                                <w:p w14:paraId="5BF289B3" w14:textId="7F32102B" w:rsidR="004A22FB" w:rsidRPr="00550CC6" w:rsidRDefault="004A22FB" w:rsidP="004A22FB">
                                  <w:pPr>
                                    <w:pStyle w:val="NormalWeb"/>
                                    <w:spacing w:before="0" w:beforeAutospacing="0" w:after="0" w:afterAutospacing="0"/>
                                    <w:rPr>
                                      <w:sz w:val="22"/>
                                      <w:szCs w:val="22"/>
                                    </w:rPr>
                                  </w:pPr>
                                  <w:r w:rsidRPr="00550CC6">
                                    <w:rPr>
                                      <w:rFonts w:ascii="Arial" w:eastAsia="+mn-ea" w:hAnsi="Arial" w:cs="Arial"/>
                                      <w:b/>
                                      <w:bCs/>
                                      <w:color w:val="000000"/>
                                      <w:kern w:val="24"/>
                                      <w:sz w:val="22"/>
                                      <w:szCs w:val="22"/>
                                    </w:rPr>
                                    <w:t>Providers</w:t>
                                  </w:r>
                                </w:p>
                              </w:tc>
                              <w:tc>
                                <w:tcPr>
                                  <w:tcW w:w="7088" w:type="dxa"/>
                                </w:tcPr>
                                <w:p w14:paraId="02998E45" w14:textId="77777777" w:rsidR="004A22FB" w:rsidRPr="00273DB9" w:rsidRDefault="004A22FB" w:rsidP="00A161AC">
                                  <w:pPr>
                                    <w:numPr>
                                      <w:ilvl w:val="0"/>
                                      <w:numId w:val="37"/>
                                    </w:numPr>
                                    <w:spacing w:after="60" w:line="256" w:lineRule="auto"/>
                                    <w:ind w:left="182" w:hanging="142"/>
                                    <w:contextualSpacing/>
                                    <w:rPr>
                                      <w:rFonts w:ascii="Times New Roman" w:eastAsia="Times New Roman" w:hAnsi="Times New Roman" w:cs="Times New Roman"/>
                                      <w:kern w:val="0"/>
                                      <w:sz w:val="16"/>
                                      <w:szCs w:val="16"/>
                                      <w:lang w:eastAsia="en-GB"/>
                                      <w14:ligatures w14:val="none"/>
                                    </w:rPr>
                                  </w:pPr>
                                  <w:r w:rsidRPr="00273DB9">
                                    <w:rPr>
                                      <w:rFonts w:eastAsia="Calibri" w:cs="Arial"/>
                                      <w:sz w:val="16"/>
                                      <w:szCs w:val="16"/>
                                      <w:lang w:eastAsia="en-GB"/>
                                      <w14:ligatures w14:val="none"/>
                                    </w:rPr>
                                    <w:t xml:space="preserve">Assessing </w:t>
                                  </w:r>
                                  <w:r w:rsidRPr="00273DB9">
                                    <w:rPr>
                                      <w:rFonts w:eastAsia="Calibri" w:cs="Arial"/>
                                      <w:b/>
                                      <w:bCs/>
                                      <w:sz w:val="16"/>
                                      <w:szCs w:val="16"/>
                                      <w:lang w:eastAsia="en-GB"/>
                                      <w14:ligatures w14:val="none"/>
                                    </w:rPr>
                                    <w:t>provider management and organisational health</w:t>
                                  </w:r>
                                  <w:r w:rsidRPr="00273DB9">
                                    <w:rPr>
                                      <w:rFonts w:eastAsia="Calibri" w:cs="Arial"/>
                                      <w:sz w:val="16"/>
                                      <w:szCs w:val="16"/>
                                      <w:lang w:eastAsia="en-GB"/>
                                      <w14:ligatures w14:val="none"/>
                                    </w:rPr>
                                    <w:t>, based on</w:t>
                                  </w:r>
                                </w:p>
                                <w:p w14:paraId="57F3924E" w14:textId="77777777" w:rsidR="004A22FB" w:rsidRPr="00273DB9" w:rsidRDefault="004A22FB" w:rsidP="00A161AC">
                                  <w:pPr>
                                    <w:numPr>
                                      <w:ilvl w:val="1"/>
                                      <w:numId w:val="38"/>
                                    </w:numPr>
                                    <w:spacing w:after="60" w:line="256" w:lineRule="auto"/>
                                    <w:ind w:left="465" w:hanging="142"/>
                                    <w:contextualSpacing/>
                                    <w:rPr>
                                      <w:rFonts w:ascii="Times New Roman" w:eastAsia="Times New Roman" w:hAnsi="Times New Roman" w:cs="Times New Roman"/>
                                      <w:kern w:val="0"/>
                                      <w:sz w:val="16"/>
                                      <w:szCs w:val="16"/>
                                      <w:lang w:eastAsia="en-GB"/>
                                      <w14:ligatures w14:val="none"/>
                                    </w:rPr>
                                  </w:pPr>
                                  <w:r w:rsidRPr="00273DB9">
                                    <w:rPr>
                                      <w:rFonts w:eastAsia="Calibri" w:cs="Arial"/>
                                      <w:sz w:val="16"/>
                                      <w:szCs w:val="16"/>
                                      <w:lang w:eastAsia="en-GB"/>
                                      <w14:ligatures w14:val="none"/>
                                    </w:rPr>
                                    <w:t>CQC well-led rating</w:t>
                                  </w:r>
                                </w:p>
                                <w:p w14:paraId="36409EBE" w14:textId="77777777" w:rsidR="004A22FB" w:rsidRPr="00273DB9" w:rsidRDefault="004A22FB" w:rsidP="00A161AC">
                                  <w:pPr>
                                    <w:numPr>
                                      <w:ilvl w:val="1"/>
                                      <w:numId w:val="38"/>
                                    </w:numPr>
                                    <w:spacing w:after="60" w:line="256" w:lineRule="auto"/>
                                    <w:ind w:left="465" w:hanging="142"/>
                                    <w:contextualSpacing/>
                                    <w:rPr>
                                      <w:rFonts w:ascii="Times New Roman" w:eastAsia="Times New Roman" w:hAnsi="Times New Roman" w:cs="Times New Roman"/>
                                      <w:kern w:val="0"/>
                                      <w:sz w:val="16"/>
                                      <w:szCs w:val="16"/>
                                      <w:lang w:eastAsia="en-GB"/>
                                      <w14:ligatures w14:val="none"/>
                                    </w:rPr>
                                  </w:pPr>
                                  <w:r w:rsidRPr="00273DB9">
                                    <w:rPr>
                                      <w:rFonts w:eastAsia="Calibri" w:cs="Arial"/>
                                      <w:sz w:val="16"/>
                                      <w:szCs w:val="16"/>
                                      <w:lang w:eastAsia="en-GB"/>
                                      <w14:ligatures w14:val="none"/>
                                    </w:rPr>
                                    <w:t>a provider self-certification and track record</w:t>
                                  </w:r>
                                </w:p>
                                <w:p w14:paraId="6816B8C9" w14:textId="77777777" w:rsidR="004A22FB" w:rsidRPr="00273DB9" w:rsidRDefault="004A22FB" w:rsidP="00A161AC">
                                  <w:pPr>
                                    <w:numPr>
                                      <w:ilvl w:val="1"/>
                                      <w:numId w:val="38"/>
                                    </w:numPr>
                                    <w:spacing w:after="60" w:line="256" w:lineRule="auto"/>
                                    <w:ind w:left="465" w:hanging="142"/>
                                    <w:contextualSpacing/>
                                    <w:rPr>
                                      <w:rFonts w:ascii="Times New Roman" w:eastAsia="Times New Roman" w:hAnsi="Times New Roman" w:cs="Times New Roman"/>
                                      <w:kern w:val="0"/>
                                      <w:sz w:val="16"/>
                                      <w:szCs w:val="16"/>
                                      <w:lang w:eastAsia="en-GB"/>
                                      <w14:ligatures w14:val="none"/>
                                    </w:rPr>
                                  </w:pPr>
                                  <w:r w:rsidRPr="00273DB9">
                                    <w:rPr>
                                      <w:rFonts w:eastAsia="Calibri" w:cs="Arial"/>
                                      <w:sz w:val="16"/>
                                      <w:szCs w:val="16"/>
                                      <w:lang w:eastAsia="en-GB"/>
                                      <w14:ligatures w14:val="none"/>
                                    </w:rPr>
                                    <w:t>third party information</w:t>
                                  </w:r>
                                </w:p>
                                <w:p w14:paraId="4ABBE816" w14:textId="77777777" w:rsidR="004A22FB" w:rsidRPr="00273DB9" w:rsidRDefault="004A22FB" w:rsidP="00A161AC">
                                  <w:pPr>
                                    <w:numPr>
                                      <w:ilvl w:val="1"/>
                                      <w:numId w:val="38"/>
                                    </w:numPr>
                                    <w:spacing w:line="256" w:lineRule="auto"/>
                                    <w:ind w:left="182" w:hanging="142"/>
                                    <w:contextualSpacing/>
                                    <w:rPr>
                                      <w:rFonts w:ascii="Times New Roman" w:eastAsia="Times New Roman" w:hAnsi="Times New Roman" w:cs="Times New Roman"/>
                                      <w:kern w:val="0"/>
                                      <w:sz w:val="16"/>
                                      <w:szCs w:val="16"/>
                                      <w:lang w:eastAsia="en-GB"/>
                                      <w14:ligatures w14:val="none"/>
                                    </w:rPr>
                                  </w:pPr>
                                  <w:r w:rsidRPr="00273DB9">
                                    <w:rPr>
                                      <w:rFonts w:eastAsia="Calibri" w:cs="Arial"/>
                                      <w:sz w:val="16"/>
                                      <w:szCs w:val="16"/>
                                      <w:lang w:eastAsia="en-GB"/>
                                      <w14:ligatures w14:val="none"/>
                                    </w:rPr>
                                    <w:t>We will use the capability assessment to moderate the provider's delivery segment.</w:t>
                                  </w:r>
                                </w:p>
                              </w:tc>
                            </w:tr>
                            <w:tr w:rsidR="00BE5341" w14:paraId="576F6B3D" w14:textId="77777777" w:rsidTr="00EF4ECF">
                              <w:trPr>
                                <w:trHeight w:val="829"/>
                              </w:trPr>
                              <w:tc>
                                <w:tcPr>
                                  <w:tcW w:w="9918" w:type="dxa"/>
                                  <w:gridSpan w:val="3"/>
                                </w:tcPr>
                                <w:p w14:paraId="6CD6ACD6" w14:textId="77777777" w:rsidR="009A1B29" w:rsidRPr="009A1B29" w:rsidRDefault="009A1B29" w:rsidP="00A161AC">
                                  <w:pPr>
                                    <w:pStyle w:val="ListParagraph"/>
                                    <w:numPr>
                                      <w:ilvl w:val="0"/>
                                      <w:numId w:val="34"/>
                                    </w:numPr>
                                    <w:tabs>
                                      <w:tab w:val="clear" w:pos="720"/>
                                      <w:tab w:val="num" w:pos="0"/>
                                      <w:tab w:val="num" w:pos="360"/>
                                      <w:tab w:val="left" w:pos="993"/>
                                    </w:tabs>
                                    <w:spacing w:after="60" w:line="240" w:lineRule="auto"/>
                                    <w:ind w:left="171" w:hanging="171"/>
                                    <w:contextualSpacing/>
                                    <w:textboxTightWrap w:val="none"/>
                                    <w:rPr>
                                      <w:rFonts w:ascii="Times New Roman" w:hAnsi="Times New Roman"/>
                                      <w:color w:val="auto"/>
                                      <w:sz w:val="16"/>
                                      <w:szCs w:val="16"/>
                                      <w:lang w:eastAsia="en-GB"/>
                                    </w:rPr>
                                  </w:pPr>
                                  <w:r w:rsidRPr="009A1B29">
                                    <w:rPr>
                                      <w:rFonts w:cs="Arial"/>
                                      <w:color w:val="auto"/>
                                      <w:kern w:val="24"/>
                                      <w:sz w:val="16"/>
                                      <w:szCs w:val="16"/>
                                      <w:lang w:eastAsia="en-GB"/>
                                    </w:rPr>
                                    <w:t xml:space="preserve">Delivery segments and capability assessments determine </w:t>
                                  </w:r>
                                  <w:r w:rsidRPr="009A1B29">
                                    <w:rPr>
                                      <w:rFonts w:cs="Arial"/>
                                      <w:b/>
                                      <w:bCs/>
                                      <w:color w:val="auto"/>
                                      <w:kern w:val="24"/>
                                      <w:sz w:val="16"/>
                                      <w:szCs w:val="16"/>
                                      <w:lang w:eastAsia="en-GB"/>
                                    </w:rPr>
                                    <w:t>how we work with ICBs to oversee providers</w:t>
                                  </w:r>
                                  <w:r w:rsidRPr="009A1B29">
                                    <w:rPr>
                                      <w:rFonts w:cs="Arial"/>
                                      <w:b/>
                                      <w:bCs/>
                                      <w:color w:val="auto"/>
                                      <w:kern w:val="24"/>
                                      <w:sz w:val="16"/>
                                      <w:szCs w:val="16"/>
                                      <w:lang w:val="en-US" w:eastAsia="en-GB"/>
                                    </w:rPr>
                                    <w:t xml:space="preserve"> </w:t>
                                  </w:r>
                                  <w:r w:rsidRPr="009A1B29">
                                    <w:rPr>
                                      <w:rFonts w:cs="Arial"/>
                                      <w:color w:val="auto"/>
                                      <w:kern w:val="24"/>
                                      <w:sz w:val="16"/>
                                      <w:szCs w:val="16"/>
                                      <w:lang w:val="en-US" w:eastAsia="en-GB"/>
                                    </w:rPr>
                                    <w:t>(section 3)</w:t>
                                  </w:r>
                                </w:p>
                                <w:p w14:paraId="02B175D2" w14:textId="77777777" w:rsidR="009A1B29" w:rsidRPr="009A1B29" w:rsidRDefault="009A1B29" w:rsidP="00A161AC">
                                  <w:pPr>
                                    <w:pStyle w:val="ListParagraph"/>
                                    <w:numPr>
                                      <w:ilvl w:val="0"/>
                                      <w:numId w:val="34"/>
                                    </w:numPr>
                                    <w:tabs>
                                      <w:tab w:val="clear" w:pos="720"/>
                                      <w:tab w:val="left" w:pos="993"/>
                                    </w:tabs>
                                    <w:spacing w:after="60" w:line="240" w:lineRule="auto"/>
                                    <w:ind w:left="171" w:hanging="171"/>
                                    <w:contextualSpacing/>
                                    <w:textboxTightWrap w:val="none"/>
                                    <w:rPr>
                                      <w:rFonts w:ascii="Times New Roman" w:hAnsi="Times New Roman"/>
                                      <w:color w:val="auto"/>
                                      <w:sz w:val="16"/>
                                      <w:szCs w:val="16"/>
                                      <w:lang w:eastAsia="en-GB"/>
                                    </w:rPr>
                                  </w:pPr>
                                  <w:r w:rsidRPr="009A1B29">
                                    <w:rPr>
                                      <w:rFonts w:cs="Arial"/>
                                      <w:color w:val="auto"/>
                                      <w:kern w:val="24"/>
                                      <w:sz w:val="16"/>
                                      <w:szCs w:val="16"/>
                                      <w:lang w:eastAsia="en-GB"/>
                                    </w:rPr>
                                    <w:t xml:space="preserve">The delivery segmentation </w:t>
                                  </w:r>
                                  <w:r w:rsidRPr="009A1B29">
                                    <w:rPr>
                                      <w:rFonts w:cs="Arial"/>
                                      <w:b/>
                                      <w:bCs/>
                                      <w:color w:val="auto"/>
                                      <w:kern w:val="24"/>
                                      <w:sz w:val="16"/>
                                      <w:szCs w:val="16"/>
                                      <w:lang w:eastAsia="en-GB"/>
                                    </w:rPr>
                                    <w:t>will drive NHS England's response</w:t>
                                  </w:r>
                                  <w:r w:rsidRPr="009A1B29">
                                    <w:rPr>
                                      <w:rFonts w:cs="Arial"/>
                                      <w:color w:val="auto"/>
                                      <w:kern w:val="24"/>
                                      <w:sz w:val="16"/>
                                      <w:szCs w:val="16"/>
                                      <w:lang w:eastAsia="en-GB"/>
                                    </w:rPr>
                                    <w:t>, e.g. provision of support, increased scrutiny, and/or direct intervention (section 4)</w:t>
                                  </w:r>
                                </w:p>
                                <w:p w14:paraId="617B6F73" w14:textId="055F0E9F" w:rsidR="009A1B29" w:rsidRPr="00EF4ECF" w:rsidRDefault="009A1B29" w:rsidP="00A161AC">
                                  <w:pPr>
                                    <w:pStyle w:val="ListParagraph"/>
                                    <w:numPr>
                                      <w:ilvl w:val="0"/>
                                      <w:numId w:val="34"/>
                                    </w:numPr>
                                    <w:tabs>
                                      <w:tab w:val="clear" w:pos="720"/>
                                      <w:tab w:val="left" w:pos="993"/>
                                    </w:tabs>
                                    <w:spacing w:after="60" w:line="240" w:lineRule="auto"/>
                                    <w:ind w:left="171" w:hanging="171"/>
                                    <w:contextualSpacing/>
                                    <w:textboxTightWrap w:val="none"/>
                                    <w:rPr>
                                      <w:rFonts w:ascii="Times New Roman" w:eastAsia="Calibri" w:hAnsi="Times New Roman"/>
                                      <w:color w:val="auto"/>
                                      <w:sz w:val="16"/>
                                      <w:szCs w:val="16"/>
                                      <w:lang w:eastAsia="en-GB"/>
                                    </w:rPr>
                                  </w:pPr>
                                  <w:r w:rsidRPr="009A1B29">
                                    <w:rPr>
                                      <w:rFonts w:ascii="Calibri" w:hAnsi="Calibri" w:cs="Arial"/>
                                      <w:color w:val="auto"/>
                                      <w:kern w:val="24"/>
                                      <w:sz w:val="16"/>
                                      <w:szCs w:val="16"/>
                                      <w:lang w:eastAsia="en-GB"/>
                                    </w:rPr>
                                    <w:t>The ICB </w:t>
                                  </w:r>
                                  <w:r w:rsidRPr="009A1B29">
                                    <w:rPr>
                                      <w:rFonts w:ascii="Calibri" w:hAnsi="Calibri" w:cs="Arial"/>
                                      <w:b/>
                                      <w:bCs/>
                                      <w:color w:val="auto"/>
                                      <w:kern w:val="24"/>
                                      <w:sz w:val="16"/>
                                      <w:szCs w:val="16"/>
                                      <w:lang w:eastAsia="en-GB"/>
                                    </w:rPr>
                                    <w:t>capability rating</w:t>
                                  </w:r>
                                  <w:r w:rsidRPr="009A1B29">
                                    <w:rPr>
                                      <w:rFonts w:ascii="Calibri" w:hAnsi="Calibri" w:cs="Arial"/>
                                      <w:color w:val="auto"/>
                                      <w:kern w:val="24"/>
                                      <w:sz w:val="16"/>
                                      <w:szCs w:val="16"/>
                                      <w:lang w:eastAsia="en-GB"/>
                                    </w:rPr>
                                    <w:t> and an annual </w:t>
                                  </w:r>
                                  <w:r w:rsidRPr="009A1B29">
                                    <w:rPr>
                                      <w:rFonts w:ascii="Calibri" w:hAnsi="Calibri" w:cs="Arial"/>
                                      <w:b/>
                                      <w:bCs/>
                                      <w:color w:val="auto"/>
                                      <w:kern w:val="24"/>
                                      <w:sz w:val="16"/>
                                      <w:szCs w:val="16"/>
                                      <w:lang w:eastAsia="en-GB"/>
                                    </w:rPr>
                                    <w:t>delivery segmentation</w:t>
                                  </w:r>
                                  <w:r w:rsidRPr="009A1B29">
                                    <w:rPr>
                                      <w:rFonts w:ascii="Calibri" w:hAnsi="Calibri" w:cs="Arial"/>
                                      <w:color w:val="auto"/>
                                      <w:kern w:val="24"/>
                                      <w:sz w:val="16"/>
                                      <w:szCs w:val="16"/>
                                      <w:lang w:eastAsia="en-GB"/>
                                    </w:rPr>
                                    <w:t xml:space="preserve"> will be published as part of the </w:t>
                                  </w:r>
                                  <w:r w:rsidRPr="009A1B29">
                                    <w:rPr>
                                      <w:rFonts w:ascii="Calibri" w:hAnsi="Calibri" w:cs="Arial"/>
                                      <w:b/>
                                      <w:bCs/>
                                      <w:color w:val="auto"/>
                                      <w:kern w:val="24"/>
                                      <w:sz w:val="16"/>
                                      <w:szCs w:val="16"/>
                                      <w:lang w:eastAsia="en-GB"/>
                                    </w:rPr>
                                    <w:t xml:space="preserve">ICB annual assessment </w:t>
                                  </w:r>
                                  <w:r w:rsidRPr="009A1B29">
                                    <w:rPr>
                                      <w:rFonts w:ascii="Calibri" w:hAnsi="Calibri" w:cs="Arial"/>
                                      <w:color w:val="auto"/>
                                      <w:kern w:val="24"/>
                                      <w:sz w:val="16"/>
                                      <w:szCs w:val="16"/>
                                      <w:lang w:eastAsia="en-GB"/>
                                    </w:rPr>
                                    <w:t>(section 5)</w:t>
                                  </w:r>
                                </w:p>
                              </w:tc>
                            </w:tr>
                          </w:tbl>
                          <w:p w14:paraId="350F6D1C" w14:textId="77777777" w:rsidR="00D81A5C" w:rsidRDefault="00D81A5C"/>
                          <w:p w14:paraId="7E2DFABB" w14:textId="77777777" w:rsidR="004A22FB" w:rsidRDefault="004A22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E8907" id="_x0000_t202" coordsize="21600,21600" o:spt="202" path="m,l,21600r21600,l21600,xe">
                <v:stroke joinstyle="miter"/>
                <v:path gradientshapeok="t" o:connecttype="rect"/>
              </v:shapetype>
              <v:shape id="Text Box 3" o:spid="_x0000_s1027" type="#_x0000_t202" style="position:absolute;left:0;text-align:left;margin-left:-17.85pt;margin-top:-.25pt;width:534.9pt;height:302.1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" filled="f" stroked="f" strokeweight=".5pt">
                <v:textbox>
                  <w:txbxContent>
                    <w:tbl>
                      <w:tblPr>
                        <w:tblStyle w:val="TableGrid3"/>
                        <w:tblW w:w="9918" w:type="dxa"/>
                        <w:tblLook w:val="04A0" w:firstRow="1" w:lastRow="0" w:firstColumn="1" w:lastColumn="0" w:noHBand="0" w:noVBand="1"/>
                      </w:tblPr>
                      <w:tblGrid>
                        <w:gridCol w:w="1413"/>
                        <w:gridCol w:w="1417"/>
                        <w:gridCol w:w="7088"/>
                      </w:tblGrid>
                      <w:tr w:rsidR="00B25BB1" w:rsidRPr="00B25BB1" w14:paraId="4B6861D0" w14:textId="77777777" w:rsidTr="00007727">
                        <w:trPr>
                          <w:trHeight w:val="1245"/>
                        </w:trPr>
                        <w:tc>
                          <w:tcPr>
                            <w:tcW w:w="1413" w:type="dxa"/>
                            <w:vMerge w:val="restart"/>
                            <w:shd w:val="clear" w:color="auto" w:fill="003087" w:themeFill="accent1"/>
                          </w:tcPr>
                          <w:p w14:paraId="0F2532FB" w14:textId="77777777" w:rsidR="00B25BB1" w:rsidRPr="00B25BB1" w:rsidRDefault="00B25BB1" w:rsidP="00B25BB1">
                            <w:pPr>
                              <w:spacing w:after="0" w:line="240" w:lineRule="auto"/>
                              <w:textboxTightWrap w:val="none"/>
                              <w:rPr>
                                <w:rFonts w:cs="Arial"/>
                                <w:b/>
                                <w:bCs/>
                                <w:color w:val="auto"/>
                                <w:kern w:val="24"/>
                                <w:sz w:val="20"/>
                                <w:szCs w:val="20"/>
                                <w:lang w:eastAsia="en-GB"/>
                              </w:rPr>
                            </w:pPr>
                          </w:p>
                          <w:p w14:paraId="21216D8D" w14:textId="77777777" w:rsidR="00B25BB1" w:rsidRPr="00B25BB1" w:rsidRDefault="00B25BB1" w:rsidP="00B25BB1">
                            <w:pPr>
                              <w:spacing w:after="0" w:line="240" w:lineRule="auto"/>
                              <w:textboxTightWrap w:val="none"/>
                              <w:rPr>
                                <w:rFonts w:cs="Arial"/>
                                <w:b/>
                                <w:bCs/>
                                <w:color w:val="auto"/>
                                <w:kern w:val="24"/>
                                <w:sz w:val="20"/>
                                <w:szCs w:val="20"/>
                                <w:lang w:eastAsia="en-GB"/>
                              </w:rPr>
                            </w:pPr>
                          </w:p>
                          <w:p w14:paraId="1A746DB3" w14:textId="77777777" w:rsidR="00B25BB1" w:rsidRPr="00B25BB1" w:rsidRDefault="00B25BB1" w:rsidP="00B25BB1">
                            <w:pPr>
                              <w:spacing w:after="0" w:line="240" w:lineRule="auto"/>
                              <w:textboxTightWrap w:val="none"/>
                              <w:rPr>
                                <w:rFonts w:cs="Arial"/>
                                <w:b/>
                                <w:bCs/>
                                <w:color w:val="auto"/>
                                <w:kern w:val="24"/>
                                <w:sz w:val="20"/>
                                <w:szCs w:val="20"/>
                                <w:lang w:eastAsia="en-GB"/>
                              </w:rPr>
                            </w:pPr>
                          </w:p>
                          <w:p w14:paraId="7FA13DB2" w14:textId="77777777" w:rsidR="00B25BB1" w:rsidRPr="00B25BB1" w:rsidRDefault="00B25BB1" w:rsidP="00B25BB1">
                            <w:pPr>
                              <w:spacing w:after="0" w:line="240" w:lineRule="auto"/>
                              <w:textboxTightWrap w:val="none"/>
                              <w:rPr>
                                <w:rFonts w:cs="Arial"/>
                                <w:b/>
                                <w:bCs/>
                                <w:color w:val="auto"/>
                                <w:kern w:val="24"/>
                                <w:sz w:val="20"/>
                                <w:szCs w:val="20"/>
                                <w:lang w:eastAsia="en-GB"/>
                              </w:rPr>
                            </w:pPr>
                            <w:r w:rsidRPr="00B25BB1">
                              <w:rPr>
                                <w:rFonts w:cs="Arial"/>
                                <w:b/>
                                <w:bCs/>
                                <w:color w:val="auto"/>
                                <w:kern w:val="24"/>
                                <w:sz w:val="20"/>
                                <w:szCs w:val="20"/>
                                <w:lang w:eastAsia="en-GB"/>
                              </w:rPr>
                              <w:t>Oversight Cycle</w:t>
                            </w:r>
                          </w:p>
                          <w:p w14:paraId="67C8D56A" w14:textId="77777777" w:rsidR="00B25BB1" w:rsidRPr="00B25BB1" w:rsidRDefault="00B25BB1" w:rsidP="00B25BB1">
                            <w:pPr>
                              <w:spacing w:after="0" w:line="240" w:lineRule="auto"/>
                              <w:textboxTightWrap w:val="none"/>
                              <w:rPr>
                                <w:rFonts w:ascii="Times New Roman" w:hAnsi="Times New Roman"/>
                                <w:color w:val="auto"/>
                                <w:sz w:val="20"/>
                                <w:szCs w:val="20"/>
                                <w:lang w:eastAsia="en-GB"/>
                              </w:rPr>
                            </w:pPr>
                          </w:p>
                          <w:p w14:paraId="1EB0382C" w14:textId="77777777" w:rsidR="00B25BB1" w:rsidRPr="00B25BB1" w:rsidRDefault="00B25BB1" w:rsidP="00B25BB1">
                            <w:pPr>
                              <w:spacing w:after="0" w:line="240" w:lineRule="auto"/>
                              <w:textboxTightWrap w:val="none"/>
                              <w:rPr>
                                <w:rFonts w:ascii="Times New Roman" w:hAnsi="Times New Roman"/>
                                <w:color w:val="auto"/>
                                <w:sz w:val="20"/>
                                <w:szCs w:val="20"/>
                                <w:lang w:eastAsia="en-GB"/>
                              </w:rPr>
                            </w:pPr>
                            <w:r w:rsidRPr="00B25BB1">
                              <w:rPr>
                                <w:rFonts w:cs="Arial"/>
                                <w:b/>
                                <w:bCs/>
                                <w:color w:val="auto"/>
                                <w:kern w:val="24"/>
                                <w:sz w:val="20"/>
                                <w:szCs w:val="20"/>
                                <w:lang w:eastAsia="en-GB"/>
                              </w:rPr>
                              <w:t>(Section 4)</w:t>
                            </w:r>
                          </w:p>
                          <w:p w14:paraId="6967C2B4" w14:textId="77777777" w:rsidR="00B25BB1" w:rsidRPr="00B25BB1" w:rsidRDefault="00B25BB1" w:rsidP="00B25BB1">
                            <w:pPr>
                              <w:spacing w:after="0" w:line="240" w:lineRule="auto"/>
                              <w:textboxTightWrap w:val="none"/>
                              <w:rPr>
                                <w:rFonts w:ascii="Calibri" w:hAnsi="Calibri"/>
                                <w:color w:val="auto"/>
                                <w:sz w:val="22"/>
                                <w:szCs w:val="22"/>
                              </w:rPr>
                            </w:pPr>
                          </w:p>
                        </w:tc>
                        <w:tc>
                          <w:tcPr>
                            <w:tcW w:w="1417" w:type="dxa"/>
                          </w:tcPr>
                          <w:p w14:paraId="4CA5619C" w14:textId="77777777" w:rsidR="00B25BB1" w:rsidRPr="00B25BB1" w:rsidRDefault="00B25BB1" w:rsidP="00B25BB1">
                            <w:pPr>
                              <w:spacing w:after="0" w:line="240" w:lineRule="auto"/>
                              <w:textboxTightWrap w:val="none"/>
                              <w:rPr>
                                <w:rFonts w:cs="Arial"/>
                                <w:b/>
                                <w:bCs/>
                                <w:color w:val="auto"/>
                                <w:kern w:val="24"/>
                                <w:sz w:val="22"/>
                                <w:szCs w:val="22"/>
                                <w:lang w:eastAsia="en-GB"/>
                              </w:rPr>
                            </w:pPr>
                          </w:p>
                          <w:p w14:paraId="7F9E7EED" w14:textId="77777777" w:rsidR="00B25BB1" w:rsidRPr="00B25BB1" w:rsidRDefault="00B25BB1" w:rsidP="00B25BB1">
                            <w:pPr>
                              <w:spacing w:after="0" w:line="240" w:lineRule="auto"/>
                              <w:textboxTightWrap w:val="none"/>
                              <w:rPr>
                                <w:rFonts w:ascii="Times New Roman" w:hAnsi="Times New Roman"/>
                                <w:color w:val="auto"/>
                                <w:sz w:val="22"/>
                                <w:szCs w:val="22"/>
                                <w:lang w:eastAsia="en-GB"/>
                              </w:rPr>
                            </w:pPr>
                            <w:r w:rsidRPr="00B25BB1">
                              <w:rPr>
                                <w:rFonts w:cs="Arial"/>
                                <w:b/>
                                <w:bCs/>
                                <w:color w:val="auto"/>
                                <w:kern w:val="24"/>
                                <w:sz w:val="22"/>
                                <w:szCs w:val="22"/>
                                <w:lang w:eastAsia="en-GB"/>
                              </w:rPr>
                              <w:t>Integrated Care Boards</w:t>
                            </w:r>
                          </w:p>
                          <w:p w14:paraId="7E784174" w14:textId="77777777" w:rsidR="00B25BB1" w:rsidRPr="00B25BB1" w:rsidRDefault="00B25BB1" w:rsidP="00B25BB1">
                            <w:pPr>
                              <w:spacing w:after="0" w:line="240" w:lineRule="auto"/>
                              <w:textboxTightWrap w:val="none"/>
                              <w:rPr>
                                <w:rFonts w:ascii="Calibri" w:hAnsi="Calibri"/>
                                <w:color w:val="auto"/>
                                <w:sz w:val="22"/>
                                <w:szCs w:val="22"/>
                              </w:rPr>
                            </w:pPr>
                          </w:p>
                        </w:tc>
                        <w:tc>
                          <w:tcPr>
                            <w:tcW w:w="7088" w:type="dxa"/>
                          </w:tcPr>
                          <w:p w14:paraId="66740CFA" w14:textId="77777777" w:rsidR="00B25BB1" w:rsidRPr="00B25BB1" w:rsidRDefault="00B25BB1" w:rsidP="00A161AC">
                            <w:pPr>
                              <w:numPr>
                                <w:ilvl w:val="0"/>
                                <w:numId w:val="35"/>
                              </w:numPr>
                              <w:spacing w:after="120" w:line="256" w:lineRule="auto"/>
                              <w:ind w:left="182" w:hanging="182"/>
                              <w:contextualSpacing/>
                              <w:textboxTightWrap w:val="none"/>
                              <w:rPr>
                                <w:rFonts w:ascii="Times New Roman" w:hAnsi="Times New Roman"/>
                                <w:color w:val="auto"/>
                                <w:sz w:val="16"/>
                                <w:szCs w:val="16"/>
                                <w:lang w:eastAsia="en-GB"/>
                              </w:rPr>
                            </w:pPr>
                            <w:r w:rsidRPr="00B25BB1">
                              <w:rPr>
                                <w:rFonts w:cs="Arial"/>
                                <w:sz w:val="16"/>
                                <w:szCs w:val="16"/>
                                <w:lang w:eastAsia="en-GB"/>
                              </w:rPr>
                              <w:t>Annual and quarterly </w:t>
                            </w:r>
                            <w:r w:rsidRPr="00B25BB1">
                              <w:rPr>
                                <w:rFonts w:cs="Arial"/>
                                <w:b/>
                                <w:bCs/>
                                <w:sz w:val="16"/>
                                <w:szCs w:val="16"/>
                                <w:lang w:eastAsia="en-GB"/>
                              </w:rPr>
                              <w:t>delivery segmentation</w:t>
                            </w:r>
                            <w:r w:rsidRPr="00B25BB1">
                              <w:rPr>
                                <w:rFonts w:cs="Arial"/>
                                <w:sz w:val="16"/>
                                <w:szCs w:val="16"/>
                                <w:lang w:eastAsia="en-GB"/>
                              </w:rPr>
                              <w:t xml:space="preserve"> – a single number (1-4), derived from:</w:t>
                            </w:r>
                          </w:p>
                          <w:p w14:paraId="0D22CD2E" w14:textId="77777777" w:rsidR="00B25BB1" w:rsidRPr="00B25BB1" w:rsidRDefault="00B25BB1" w:rsidP="00A161AC">
                            <w:pPr>
                              <w:numPr>
                                <w:ilvl w:val="1"/>
                                <w:numId w:val="36"/>
                              </w:numPr>
                              <w:spacing w:after="60" w:line="256" w:lineRule="auto"/>
                              <w:ind w:left="324" w:hanging="102"/>
                              <w:contextualSpacing/>
                              <w:textboxTightWrap w:val="none"/>
                              <w:rPr>
                                <w:rFonts w:ascii="Times New Roman" w:hAnsi="Times New Roman"/>
                                <w:color w:val="auto"/>
                                <w:sz w:val="16"/>
                                <w:szCs w:val="16"/>
                                <w:lang w:eastAsia="en-GB"/>
                              </w:rPr>
                            </w:pPr>
                            <w:r w:rsidRPr="00B25BB1">
                              <w:rPr>
                                <w:rFonts w:cs="Arial"/>
                                <w:sz w:val="16"/>
                                <w:szCs w:val="16"/>
                                <w:lang w:eastAsia="en-GB"/>
                              </w:rPr>
                              <w:t>ongoing review of performance and annualised performance against ICB’s oversight metrics</w:t>
                            </w:r>
                          </w:p>
                          <w:p w14:paraId="0B2628F1" w14:textId="77777777" w:rsidR="00B25BB1" w:rsidRPr="00B25BB1" w:rsidRDefault="00B25BB1" w:rsidP="00A161AC">
                            <w:pPr>
                              <w:numPr>
                                <w:ilvl w:val="1"/>
                                <w:numId w:val="36"/>
                              </w:numPr>
                              <w:spacing w:after="60" w:line="256" w:lineRule="auto"/>
                              <w:ind w:left="324" w:hanging="102"/>
                              <w:contextualSpacing/>
                              <w:textboxTightWrap w:val="none"/>
                              <w:rPr>
                                <w:rFonts w:ascii="Times New Roman" w:hAnsi="Times New Roman"/>
                                <w:color w:val="auto"/>
                                <w:sz w:val="16"/>
                                <w:szCs w:val="16"/>
                                <w:lang w:eastAsia="en-GB"/>
                              </w:rPr>
                            </w:pPr>
                            <w:r w:rsidRPr="00B25BB1">
                              <w:rPr>
                                <w:rFonts w:cs="Arial"/>
                                <w:sz w:val="16"/>
                                <w:szCs w:val="16"/>
                                <w:lang w:eastAsia="en-GB"/>
                              </w:rPr>
                              <w:t>consideration of wider system delivery across specific areas (e.g. finance, access)</w:t>
                            </w:r>
                          </w:p>
                          <w:p w14:paraId="51FD671D" w14:textId="77777777" w:rsidR="00B25BB1" w:rsidRPr="00B25BB1" w:rsidRDefault="00B25BB1" w:rsidP="00A161AC">
                            <w:pPr>
                              <w:numPr>
                                <w:ilvl w:val="1"/>
                                <w:numId w:val="36"/>
                              </w:numPr>
                              <w:spacing w:after="60" w:line="256" w:lineRule="auto"/>
                              <w:ind w:left="324" w:hanging="102"/>
                              <w:contextualSpacing/>
                              <w:textboxTightWrap w:val="none"/>
                              <w:rPr>
                                <w:rFonts w:ascii="Times New Roman" w:hAnsi="Times New Roman"/>
                                <w:color w:val="auto"/>
                                <w:sz w:val="16"/>
                                <w:szCs w:val="16"/>
                                <w:lang w:eastAsia="en-GB"/>
                              </w:rPr>
                            </w:pPr>
                            <w:r w:rsidRPr="00B25BB1">
                              <w:rPr>
                                <w:rFonts w:cs="Arial"/>
                                <w:sz w:val="16"/>
                                <w:szCs w:val="16"/>
                                <w:lang w:eastAsia="en-GB"/>
                              </w:rPr>
                              <w:t>incorporating the ICB capability assessment (see below)</w:t>
                            </w:r>
                          </w:p>
                          <w:p w14:paraId="01699AE8" w14:textId="77777777" w:rsidR="00B25BB1" w:rsidRPr="00B25BB1" w:rsidRDefault="00B25BB1" w:rsidP="00A161AC">
                            <w:pPr>
                              <w:numPr>
                                <w:ilvl w:val="4"/>
                                <w:numId w:val="34"/>
                              </w:numPr>
                              <w:spacing w:after="120" w:line="256" w:lineRule="auto"/>
                              <w:ind w:left="182" w:hanging="182"/>
                              <w:contextualSpacing/>
                              <w:textboxTightWrap w:val="none"/>
                              <w:rPr>
                                <w:rFonts w:ascii="Times New Roman" w:hAnsi="Times New Roman"/>
                                <w:color w:val="auto"/>
                                <w:sz w:val="16"/>
                                <w:szCs w:val="16"/>
                                <w:lang w:eastAsia="en-GB"/>
                              </w:rPr>
                            </w:pPr>
                            <w:r w:rsidRPr="00B25BB1">
                              <w:rPr>
                                <w:rFonts w:cs="Arial"/>
                                <w:sz w:val="16"/>
                                <w:szCs w:val="16"/>
                                <w:lang w:eastAsia="en-GB"/>
                              </w:rPr>
                              <w:t>All ICB segmentations to be reviewed and published by NHSE following discussions with the ICB.</w:t>
                            </w:r>
                          </w:p>
                        </w:tc>
                      </w:tr>
                      <w:tr w:rsidR="00B25BB1" w:rsidRPr="00B25BB1" w14:paraId="6E526B7F" w14:textId="77777777" w:rsidTr="00007727">
                        <w:trPr>
                          <w:trHeight w:val="1128"/>
                        </w:trPr>
                        <w:tc>
                          <w:tcPr>
                            <w:tcW w:w="1413" w:type="dxa"/>
                            <w:vMerge/>
                            <w:shd w:val="clear" w:color="auto" w:fill="003087" w:themeFill="accent1"/>
                          </w:tcPr>
                          <w:p w14:paraId="7E7D56DB" w14:textId="77777777" w:rsidR="00B25BB1" w:rsidRPr="00B25BB1" w:rsidRDefault="00B25BB1" w:rsidP="00B25BB1">
                            <w:pPr>
                              <w:spacing w:after="0" w:line="240" w:lineRule="auto"/>
                              <w:textboxTightWrap w:val="none"/>
                              <w:rPr>
                                <w:rFonts w:ascii="Calibri" w:hAnsi="Calibri"/>
                                <w:color w:val="auto"/>
                                <w:sz w:val="22"/>
                                <w:szCs w:val="22"/>
                              </w:rPr>
                            </w:pPr>
                          </w:p>
                        </w:tc>
                        <w:tc>
                          <w:tcPr>
                            <w:tcW w:w="1417" w:type="dxa"/>
                          </w:tcPr>
                          <w:p w14:paraId="297A0340" w14:textId="77777777" w:rsidR="00B25BB1" w:rsidRPr="00B25BB1" w:rsidRDefault="00B25BB1" w:rsidP="00B25BB1">
                            <w:pPr>
                              <w:spacing w:after="0" w:line="240" w:lineRule="auto"/>
                              <w:textboxTightWrap w:val="none"/>
                              <w:rPr>
                                <w:rFonts w:ascii="Calibri" w:hAnsi="Calibri"/>
                                <w:color w:val="auto"/>
                                <w:sz w:val="22"/>
                                <w:szCs w:val="22"/>
                              </w:rPr>
                            </w:pPr>
                          </w:p>
                          <w:p w14:paraId="48DB731C" w14:textId="77777777" w:rsidR="00B25BB1" w:rsidRPr="00B25BB1" w:rsidRDefault="00B25BB1" w:rsidP="00B25BB1">
                            <w:pPr>
                              <w:spacing w:after="0" w:line="240" w:lineRule="auto"/>
                              <w:ind w:left="331" w:hanging="331"/>
                              <w:textboxTightWrap w:val="none"/>
                              <w:rPr>
                                <w:rFonts w:cs="Arial"/>
                                <w:b/>
                                <w:bCs/>
                                <w:kern w:val="24"/>
                                <w:sz w:val="22"/>
                                <w:szCs w:val="22"/>
                                <w:lang w:eastAsia="en-GB"/>
                              </w:rPr>
                            </w:pPr>
                          </w:p>
                          <w:p w14:paraId="25DBD03E" w14:textId="77777777" w:rsidR="00B25BB1" w:rsidRPr="00B25BB1" w:rsidRDefault="00B25BB1" w:rsidP="00B25BB1">
                            <w:pPr>
                              <w:spacing w:after="0" w:line="240" w:lineRule="auto"/>
                              <w:ind w:left="331" w:hanging="331"/>
                              <w:textboxTightWrap w:val="none"/>
                              <w:rPr>
                                <w:rFonts w:ascii="Times New Roman" w:hAnsi="Times New Roman"/>
                                <w:color w:val="auto"/>
                                <w:sz w:val="22"/>
                                <w:szCs w:val="22"/>
                                <w:lang w:eastAsia="en-GB"/>
                              </w:rPr>
                            </w:pPr>
                            <w:r w:rsidRPr="00B25BB1">
                              <w:rPr>
                                <w:rFonts w:cs="Arial"/>
                                <w:b/>
                                <w:bCs/>
                                <w:kern w:val="24"/>
                                <w:sz w:val="22"/>
                                <w:szCs w:val="22"/>
                                <w:lang w:eastAsia="en-GB"/>
                              </w:rPr>
                              <w:t>Providers</w:t>
                            </w:r>
                          </w:p>
                          <w:p w14:paraId="7CD0908B" w14:textId="77777777" w:rsidR="00B25BB1" w:rsidRPr="00B25BB1" w:rsidRDefault="00B25BB1" w:rsidP="00B25BB1">
                            <w:pPr>
                              <w:spacing w:after="0" w:line="240" w:lineRule="auto"/>
                              <w:textboxTightWrap w:val="none"/>
                              <w:rPr>
                                <w:rFonts w:ascii="Calibri" w:hAnsi="Calibri"/>
                                <w:color w:val="auto"/>
                                <w:sz w:val="22"/>
                                <w:szCs w:val="22"/>
                              </w:rPr>
                            </w:pPr>
                          </w:p>
                        </w:tc>
                        <w:tc>
                          <w:tcPr>
                            <w:tcW w:w="7088" w:type="dxa"/>
                          </w:tcPr>
                          <w:p w14:paraId="68462346" w14:textId="77777777" w:rsidR="00B25BB1" w:rsidRPr="00B25BB1" w:rsidRDefault="00B25BB1" w:rsidP="00A161AC">
                            <w:pPr>
                              <w:numPr>
                                <w:ilvl w:val="0"/>
                                <w:numId w:val="32"/>
                              </w:numPr>
                              <w:spacing w:after="120" w:line="256" w:lineRule="auto"/>
                              <w:ind w:left="284" w:hanging="284"/>
                              <w:contextualSpacing/>
                              <w:textboxTightWrap w:val="none"/>
                              <w:rPr>
                                <w:rFonts w:ascii="Times New Roman" w:hAnsi="Times New Roman"/>
                                <w:color w:val="auto"/>
                                <w:sz w:val="16"/>
                                <w:szCs w:val="16"/>
                                <w:lang w:eastAsia="en-GB"/>
                              </w:rPr>
                            </w:pPr>
                            <w:r w:rsidRPr="00B25BB1">
                              <w:rPr>
                                <w:rFonts w:cs="Arial"/>
                                <w:sz w:val="16"/>
                                <w:szCs w:val="16"/>
                                <w:lang w:eastAsia="en-GB"/>
                              </w:rPr>
                              <w:t xml:space="preserve">Quarterly </w:t>
                            </w:r>
                            <w:r w:rsidRPr="00B25BB1">
                              <w:rPr>
                                <w:rFonts w:cs="Arial"/>
                                <w:b/>
                                <w:bCs/>
                                <w:sz w:val="16"/>
                                <w:szCs w:val="16"/>
                                <w:lang w:eastAsia="en-GB"/>
                              </w:rPr>
                              <w:t>delivery segmentation</w:t>
                            </w:r>
                            <w:r w:rsidRPr="00B25BB1">
                              <w:rPr>
                                <w:rFonts w:cs="Arial"/>
                                <w:sz w:val="16"/>
                                <w:szCs w:val="16"/>
                                <w:lang w:eastAsia="en-GB"/>
                              </w:rPr>
                              <w:t xml:space="preserve"> – a single number (1-4), based on:</w:t>
                            </w:r>
                          </w:p>
                          <w:p w14:paraId="65C41B28" w14:textId="77777777" w:rsidR="00B25BB1" w:rsidRPr="00B25BB1" w:rsidRDefault="00B25BB1" w:rsidP="00A161AC">
                            <w:pPr>
                              <w:numPr>
                                <w:ilvl w:val="0"/>
                                <w:numId w:val="32"/>
                              </w:numPr>
                              <w:tabs>
                                <w:tab w:val="left" w:pos="567"/>
                              </w:tabs>
                              <w:spacing w:after="60" w:line="256" w:lineRule="auto"/>
                              <w:contextualSpacing/>
                              <w:textboxTightWrap w:val="none"/>
                              <w:rPr>
                                <w:rFonts w:ascii="Times New Roman" w:hAnsi="Times New Roman"/>
                                <w:color w:val="auto"/>
                                <w:sz w:val="16"/>
                                <w:szCs w:val="16"/>
                                <w:lang w:eastAsia="en-GB"/>
                              </w:rPr>
                            </w:pPr>
                            <w:r w:rsidRPr="00B25BB1">
                              <w:rPr>
                                <w:rFonts w:cs="Arial"/>
                                <w:sz w:val="16"/>
                                <w:szCs w:val="16"/>
                                <w:lang w:eastAsia="en-GB"/>
                              </w:rPr>
                              <w:t xml:space="preserve">ongoing review of performance and annualised performance against provider oversight metrics </w:t>
                            </w:r>
                          </w:p>
                          <w:p w14:paraId="2F52A87F" w14:textId="77777777" w:rsidR="00B25BB1" w:rsidRPr="00B25BB1" w:rsidRDefault="00B25BB1" w:rsidP="00A161AC">
                            <w:pPr>
                              <w:numPr>
                                <w:ilvl w:val="0"/>
                                <w:numId w:val="32"/>
                              </w:numPr>
                              <w:tabs>
                                <w:tab w:val="left" w:pos="567"/>
                              </w:tabs>
                              <w:spacing w:after="60" w:line="256" w:lineRule="auto"/>
                              <w:contextualSpacing/>
                              <w:textboxTightWrap w:val="none"/>
                              <w:rPr>
                                <w:rFonts w:ascii="Times New Roman" w:hAnsi="Times New Roman"/>
                                <w:color w:val="auto"/>
                                <w:sz w:val="16"/>
                                <w:szCs w:val="16"/>
                                <w:lang w:eastAsia="en-GB"/>
                              </w:rPr>
                            </w:pPr>
                            <w:r w:rsidRPr="00B25BB1">
                              <w:rPr>
                                <w:rFonts w:cs="Arial"/>
                                <w:sz w:val="16"/>
                                <w:szCs w:val="16"/>
                                <w:lang w:eastAsia="en-GB"/>
                              </w:rPr>
                              <w:t>a consideration of wider system delivery across specific areas (e.g. finance, access)</w:t>
                            </w:r>
                          </w:p>
                          <w:p w14:paraId="1116D73F" w14:textId="77777777" w:rsidR="00B25BB1" w:rsidRPr="00B25BB1" w:rsidRDefault="00B25BB1" w:rsidP="00A161AC">
                            <w:pPr>
                              <w:numPr>
                                <w:ilvl w:val="0"/>
                                <w:numId w:val="32"/>
                              </w:numPr>
                              <w:tabs>
                                <w:tab w:val="left" w:pos="567"/>
                              </w:tabs>
                              <w:spacing w:after="60" w:line="256" w:lineRule="auto"/>
                              <w:contextualSpacing/>
                              <w:textboxTightWrap w:val="none"/>
                              <w:rPr>
                                <w:rFonts w:ascii="Times New Roman" w:hAnsi="Times New Roman"/>
                                <w:color w:val="auto"/>
                                <w:sz w:val="16"/>
                                <w:szCs w:val="16"/>
                                <w:lang w:eastAsia="en-GB"/>
                              </w:rPr>
                            </w:pPr>
                            <w:r w:rsidRPr="00B25BB1">
                              <w:rPr>
                                <w:rFonts w:cs="Arial"/>
                                <w:sz w:val="16"/>
                                <w:szCs w:val="16"/>
                                <w:lang w:eastAsia="en-GB"/>
                              </w:rPr>
                              <w:t>incorporating our views of the provider’s capability</w:t>
                            </w:r>
                          </w:p>
                          <w:p w14:paraId="344C4DD3" w14:textId="77777777" w:rsidR="00B25BB1" w:rsidRPr="00B25BB1" w:rsidRDefault="00B25BB1" w:rsidP="00A161AC">
                            <w:pPr>
                              <w:numPr>
                                <w:ilvl w:val="0"/>
                                <w:numId w:val="32"/>
                              </w:numPr>
                              <w:spacing w:after="60" w:line="256" w:lineRule="auto"/>
                              <w:ind w:left="284" w:hanging="284"/>
                              <w:contextualSpacing/>
                              <w:textboxTightWrap w:val="none"/>
                              <w:rPr>
                                <w:rFonts w:ascii="Times New Roman" w:hAnsi="Times New Roman"/>
                                <w:color w:val="auto"/>
                                <w:sz w:val="16"/>
                                <w:szCs w:val="16"/>
                                <w:lang w:eastAsia="en-GB"/>
                              </w:rPr>
                            </w:pPr>
                            <w:r w:rsidRPr="00B25BB1">
                              <w:rPr>
                                <w:rFonts w:cs="Arial"/>
                                <w:sz w:val="16"/>
                                <w:szCs w:val="16"/>
                                <w:lang w:eastAsia="en-GB"/>
                              </w:rPr>
                              <w:t>All provider segmentations to be reviewed and published by NHSE following discussions with the ICB.</w:t>
                            </w:r>
                          </w:p>
                        </w:tc>
                      </w:tr>
                    </w:tbl>
                    <w:tbl>
                      <w:tblPr>
                        <w:tblStyle w:val="TableGrid4"/>
                        <w:tblW w:w="9918" w:type="dxa"/>
                        <w:tblLook w:val="04A0" w:firstRow="1" w:lastRow="0" w:firstColumn="1" w:lastColumn="0" w:noHBand="0" w:noVBand="1"/>
                      </w:tblPr>
                      <w:tblGrid>
                        <w:gridCol w:w="1395"/>
                        <w:gridCol w:w="1435"/>
                        <w:gridCol w:w="7088"/>
                      </w:tblGrid>
                      <w:tr w:rsidR="004A22FB" w14:paraId="3611F270" w14:textId="77777777" w:rsidTr="00007727">
                        <w:trPr>
                          <w:trHeight w:val="1137"/>
                        </w:trPr>
                        <w:tc>
                          <w:tcPr>
                            <w:tcW w:w="1395" w:type="dxa"/>
                            <w:vMerge w:val="restart"/>
                            <w:shd w:val="clear" w:color="auto" w:fill="003087" w:themeFill="accent1"/>
                          </w:tcPr>
                          <w:p w14:paraId="6990E1CE" w14:textId="77777777" w:rsidR="004A22FB" w:rsidRPr="00007727" w:rsidRDefault="004A22FB" w:rsidP="004A22FB">
                            <w:pPr>
                              <w:rPr>
                                <w:rFonts w:eastAsia="+mn-ea" w:cs="Arial"/>
                                <w:b/>
                                <w:bCs/>
                                <w:color w:val="FFFFFF" w:themeColor="text1"/>
                                <w:kern w:val="24"/>
                                <w:sz w:val="16"/>
                                <w:szCs w:val="16"/>
                                <w:lang w:eastAsia="en-GB"/>
                                <w14:ligatures w14:val="none"/>
                              </w:rPr>
                            </w:pPr>
                          </w:p>
                          <w:p w14:paraId="76337B11" w14:textId="77777777" w:rsidR="004A22FB" w:rsidRPr="00007727" w:rsidRDefault="004A22FB" w:rsidP="004A22FB">
                            <w:pPr>
                              <w:spacing w:after="0" w:line="240" w:lineRule="auto"/>
                              <w:rPr>
                                <w:rFonts w:eastAsia="+mn-ea" w:cs="Arial"/>
                                <w:b/>
                                <w:bCs/>
                                <w:color w:val="FFFFFF" w:themeColor="text1"/>
                                <w:kern w:val="24"/>
                                <w:sz w:val="20"/>
                                <w:szCs w:val="20"/>
                                <w:lang w:eastAsia="en-GB"/>
                                <w14:ligatures w14:val="none"/>
                              </w:rPr>
                            </w:pPr>
                            <w:r w:rsidRPr="00007727">
                              <w:rPr>
                                <w:rFonts w:eastAsia="+mn-ea" w:cs="Arial"/>
                                <w:b/>
                                <w:bCs/>
                                <w:color w:val="FFFFFF" w:themeColor="text1"/>
                                <w:kern w:val="24"/>
                                <w:sz w:val="20"/>
                                <w:szCs w:val="20"/>
                                <w:lang w:eastAsia="en-GB"/>
                                <w14:ligatures w14:val="none"/>
                              </w:rPr>
                              <w:t>Assessment</w:t>
                            </w:r>
                          </w:p>
                          <w:p w14:paraId="30053636" w14:textId="77777777" w:rsidR="004A22FB" w:rsidRPr="00007727" w:rsidRDefault="004A22FB" w:rsidP="004A22FB">
                            <w:pPr>
                              <w:spacing w:after="0" w:line="240" w:lineRule="auto"/>
                              <w:rPr>
                                <w:rFonts w:eastAsia="+mn-ea" w:cs="Arial"/>
                                <w:b/>
                                <w:bCs/>
                                <w:color w:val="FFFFFF" w:themeColor="text1"/>
                                <w:kern w:val="24"/>
                                <w:sz w:val="20"/>
                                <w:szCs w:val="20"/>
                                <w:lang w:eastAsia="en-GB"/>
                                <w14:ligatures w14:val="none"/>
                              </w:rPr>
                            </w:pPr>
                            <w:r w:rsidRPr="00007727">
                              <w:rPr>
                                <w:rFonts w:eastAsia="+mn-ea" w:cs="Arial"/>
                                <w:b/>
                                <w:bCs/>
                                <w:color w:val="FFFFFF" w:themeColor="text1"/>
                                <w:kern w:val="24"/>
                                <w:sz w:val="20"/>
                                <w:szCs w:val="20"/>
                                <w:lang w:eastAsia="en-GB"/>
                                <w14:ligatures w14:val="none"/>
                              </w:rPr>
                              <w:t>Cycle</w:t>
                            </w:r>
                          </w:p>
                          <w:p w14:paraId="52FD72FC" w14:textId="77777777" w:rsidR="004A22FB" w:rsidRPr="00007727" w:rsidRDefault="004A22FB" w:rsidP="004A22FB">
                            <w:pPr>
                              <w:spacing w:after="0" w:line="240" w:lineRule="auto"/>
                              <w:rPr>
                                <w:rFonts w:ascii="Times New Roman" w:eastAsia="Times New Roman" w:hAnsi="Times New Roman" w:cs="Times New Roman"/>
                                <w:color w:val="FFFFFF" w:themeColor="text1"/>
                                <w:kern w:val="0"/>
                                <w:sz w:val="20"/>
                                <w:szCs w:val="20"/>
                                <w:lang w:eastAsia="en-GB"/>
                                <w14:ligatures w14:val="none"/>
                              </w:rPr>
                            </w:pPr>
                          </w:p>
                          <w:p w14:paraId="52996249" w14:textId="287B5783" w:rsidR="004A22FB" w:rsidRPr="00007727" w:rsidRDefault="004A22FB" w:rsidP="004A22FB">
                            <w:pPr>
                              <w:spacing w:after="0" w:line="240" w:lineRule="auto"/>
                              <w:rPr>
                                <w:rFonts w:ascii="Times New Roman" w:eastAsia="Times New Roman" w:hAnsi="Times New Roman" w:cs="Times New Roman"/>
                                <w:color w:val="FFFFFF" w:themeColor="text1"/>
                                <w:kern w:val="0"/>
                                <w:sz w:val="20"/>
                                <w:szCs w:val="20"/>
                                <w:lang w:eastAsia="en-GB"/>
                                <w14:ligatures w14:val="none"/>
                              </w:rPr>
                            </w:pPr>
                            <w:r w:rsidRPr="00007727">
                              <w:rPr>
                                <w:rFonts w:eastAsia="+mn-ea" w:cs="Arial"/>
                                <w:b/>
                                <w:bCs/>
                                <w:color w:val="FFFFFF" w:themeColor="text1"/>
                                <w:kern w:val="24"/>
                                <w:sz w:val="20"/>
                                <w:szCs w:val="20"/>
                                <w:lang w:eastAsia="en-GB"/>
                                <w14:ligatures w14:val="none"/>
                              </w:rPr>
                              <w:t>(Section 5)</w:t>
                            </w:r>
                          </w:p>
                        </w:tc>
                        <w:tc>
                          <w:tcPr>
                            <w:tcW w:w="1435" w:type="dxa"/>
                          </w:tcPr>
                          <w:p w14:paraId="7AE77BFD" w14:textId="77777777" w:rsidR="004A22FB" w:rsidRDefault="004A22FB" w:rsidP="004A22FB">
                            <w:pPr>
                              <w:pStyle w:val="NormalWeb"/>
                              <w:spacing w:before="0" w:beforeAutospacing="0" w:after="0" w:afterAutospacing="0"/>
                              <w:rPr>
                                <w:rFonts w:ascii="Arial" w:eastAsia="+mn-ea" w:hAnsi="Arial" w:cs="Arial"/>
                                <w:b/>
                                <w:bCs/>
                                <w:kern w:val="24"/>
                                <w:sz w:val="22"/>
                                <w:szCs w:val="22"/>
                              </w:rPr>
                            </w:pPr>
                          </w:p>
                          <w:p w14:paraId="262E5FE0" w14:textId="6B0005B2" w:rsidR="004A22FB" w:rsidRPr="00550CC6" w:rsidRDefault="004A22FB" w:rsidP="004A22FB">
                            <w:pPr>
                              <w:pStyle w:val="NormalWeb"/>
                              <w:spacing w:before="0" w:beforeAutospacing="0" w:after="0" w:afterAutospacing="0"/>
                              <w:rPr>
                                <w:sz w:val="22"/>
                                <w:szCs w:val="22"/>
                              </w:rPr>
                            </w:pPr>
                            <w:r w:rsidRPr="00550CC6">
                              <w:rPr>
                                <w:rFonts w:ascii="Arial" w:eastAsia="+mn-ea" w:hAnsi="Arial" w:cs="Arial"/>
                                <w:b/>
                                <w:bCs/>
                                <w:kern w:val="24"/>
                                <w:sz w:val="22"/>
                                <w:szCs w:val="22"/>
                              </w:rPr>
                              <w:t>Integrated Care Boards</w:t>
                            </w:r>
                          </w:p>
                        </w:tc>
                        <w:tc>
                          <w:tcPr>
                            <w:tcW w:w="7088" w:type="dxa"/>
                          </w:tcPr>
                          <w:p w14:paraId="5C20DFFA" w14:textId="77777777" w:rsidR="004A22FB" w:rsidRPr="00273DB9" w:rsidRDefault="004A22FB" w:rsidP="00A161AC">
                            <w:pPr>
                              <w:numPr>
                                <w:ilvl w:val="0"/>
                                <w:numId w:val="33"/>
                              </w:numPr>
                              <w:spacing w:after="80" w:line="256" w:lineRule="auto"/>
                              <w:ind w:left="284" w:hanging="217"/>
                              <w:contextualSpacing/>
                              <w:rPr>
                                <w:rFonts w:ascii="Times New Roman" w:eastAsia="Times New Roman" w:hAnsi="Times New Roman" w:cs="Times New Roman"/>
                                <w:kern w:val="0"/>
                                <w:sz w:val="16"/>
                                <w:szCs w:val="16"/>
                                <w:lang w:eastAsia="en-GB"/>
                                <w14:ligatures w14:val="none"/>
                              </w:rPr>
                            </w:pPr>
                            <w:r w:rsidRPr="00273DB9">
                              <w:rPr>
                                <w:rFonts w:eastAsia="Calibri" w:cs="Arial"/>
                                <w:sz w:val="16"/>
                                <w:szCs w:val="16"/>
                                <w:lang w:eastAsia="en-GB"/>
                                <w14:ligatures w14:val="none"/>
                              </w:rPr>
                              <w:t>Based on assessment of the ICB’s ability across 6 functional areas</w:t>
                            </w:r>
                          </w:p>
                          <w:p w14:paraId="743D5E39" w14:textId="77777777" w:rsidR="004A22FB" w:rsidRPr="00273DB9" w:rsidRDefault="004A22FB" w:rsidP="00A161AC">
                            <w:pPr>
                              <w:numPr>
                                <w:ilvl w:val="0"/>
                                <w:numId w:val="33"/>
                              </w:numPr>
                              <w:spacing w:after="80" w:line="256" w:lineRule="auto"/>
                              <w:ind w:left="284" w:hanging="217"/>
                              <w:contextualSpacing/>
                              <w:rPr>
                                <w:rFonts w:ascii="Times New Roman" w:eastAsia="Times New Roman" w:hAnsi="Times New Roman" w:cs="Times New Roman"/>
                                <w:kern w:val="0"/>
                                <w:sz w:val="16"/>
                                <w:szCs w:val="16"/>
                                <w:lang w:eastAsia="en-GB"/>
                                <w14:ligatures w14:val="none"/>
                              </w:rPr>
                            </w:pPr>
                            <w:r w:rsidRPr="00273DB9">
                              <w:rPr>
                                <w:rFonts w:eastAsia="Calibri" w:cs="Arial"/>
                                <w:sz w:val="16"/>
                                <w:szCs w:val="16"/>
                                <w:lang w:eastAsia="en-GB"/>
                                <w14:ligatures w14:val="none"/>
                              </w:rPr>
                              <w:t>Incorporating ICB self-assessment, CQC and stakeholders’ views</w:t>
                            </w:r>
                          </w:p>
                          <w:p w14:paraId="715499D4" w14:textId="77777777" w:rsidR="004A22FB" w:rsidRPr="00273DB9" w:rsidRDefault="004A22FB" w:rsidP="00A161AC">
                            <w:pPr>
                              <w:numPr>
                                <w:ilvl w:val="0"/>
                                <w:numId w:val="33"/>
                              </w:numPr>
                              <w:spacing w:after="80" w:line="256" w:lineRule="auto"/>
                              <w:ind w:left="284" w:hanging="218"/>
                              <w:contextualSpacing/>
                              <w:rPr>
                                <w:rFonts w:ascii="Times New Roman" w:eastAsia="Times New Roman" w:hAnsi="Times New Roman" w:cs="Times New Roman"/>
                                <w:kern w:val="0"/>
                                <w:sz w:val="16"/>
                                <w:szCs w:val="16"/>
                                <w:lang w:eastAsia="en-GB"/>
                                <w14:ligatures w14:val="none"/>
                              </w:rPr>
                            </w:pPr>
                            <w:r w:rsidRPr="00273DB9">
                              <w:rPr>
                                <w:rFonts w:eastAsia="Calibri" w:cs="Arial"/>
                                <w:sz w:val="16"/>
                                <w:szCs w:val="16"/>
                                <w:lang w:eastAsia="en-GB"/>
                                <w14:ligatures w14:val="none"/>
                              </w:rPr>
                              <w:t>Resulting in </w:t>
                            </w:r>
                            <w:r w:rsidRPr="00273DB9">
                              <w:rPr>
                                <w:rFonts w:eastAsia="Calibri" w:cs="Arial"/>
                                <w:b/>
                                <w:bCs/>
                                <w:sz w:val="16"/>
                                <w:szCs w:val="16"/>
                                <w:lang w:eastAsia="en-GB"/>
                                <w14:ligatures w14:val="none"/>
                              </w:rPr>
                              <w:t>an overall capability rating</w:t>
                            </w:r>
                            <w:r w:rsidRPr="00273DB9">
                              <w:rPr>
                                <w:rFonts w:eastAsia="Calibri" w:cs="Arial"/>
                                <w:sz w:val="16"/>
                                <w:szCs w:val="16"/>
                                <w:lang w:eastAsia="en-GB"/>
                                <w14:ligatures w14:val="none"/>
                              </w:rPr>
                              <w:t xml:space="preserve"> – ‘insufficient progress’ / ‘progressing’ / ‘achieving’ / ‘excelling’</w:t>
                            </w:r>
                          </w:p>
                          <w:p w14:paraId="559E5439" w14:textId="77777777" w:rsidR="004A22FB" w:rsidRPr="00273DB9" w:rsidRDefault="004A22FB" w:rsidP="00A161AC">
                            <w:pPr>
                              <w:numPr>
                                <w:ilvl w:val="0"/>
                                <w:numId w:val="33"/>
                              </w:numPr>
                              <w:spacing w:after="80" w:line="256" w:lineRule="auto"/>
                              <w:ind w:left="284" w:hanging="218"/>
                              <w:contextualSpacing/>
                              <w:rPr>
                                <w:rFonts w:ascii="Times New Roman" w:eastAsia="Times New Roman" w:hAnsi="Times New Roman" w:cs="Times New Roman"/>
                                <w:kern w:val="0"/>
                                <w:sz w:val="16"/>
                                <w:szCs w:val="16"/>
                                <w:lang w:eastAsia="en-GB"/>
                                <w14:ligatures w14:val="none"/>
                              </w:rPr>
                            </w:pPr>
                            <w:r w:rsidRPr="00273DB9">
                              <w:rPr>
                                <w:rFonts w:eastAsia="Calibri" w:cs="Arial"/>
                                <w:sz w:val="16"/>
                                <w:szCs w:val="16"/>
                                <w:lang w:eastAsia="en-GB"/>
                                <w14:ligatures w14:val="none"/>
                              </w:rPr>
                              <w:t>We will use the capability assessment to moderate the ICB’s delivery segment.</w:t>
                            </w:r>
                          </w:p>
                        </w:tc>
                      </w:tr>
                      <w:tr w:rsidR="004A22FB" w14:paraId="25C37181" w14:textId="77777777" w:rsidTr="00007727">
                        <w:trPr>
                          <w:trHeight w:val="1128"/>
                        </w:trPr>
                        <w:tc>
                          <w:tcPr>
                            <w:tcW w:w="1395" w:type="dxa"/>
                            <w:vMerge/>
                            <w:shd w:val="clear" w:color="auto" w:fill="003087" w:themeFill="accent1"/>
                          </w:tcPr>
                          <w:p w14:paraId="698E8375" w14:textId="77777777" w:rsidR="004A22FB" w:rsidRDefault="004A22FB" w:rsidP="004A22FB"/>
                        </w:tc>
                        <w:tc>
                          <w:tcPr>
                            <w:tcW w:w="1435" w:type="dxa"/>
                          </w:tcPr>
                          <w:p w14:paraId="3EA32D85" w14:textId="77777777" w:rsidR="004A22FB" w:rsidRDefault="004A22FB" w:rsidP="004A22FB">
                            <w:pPr>
                              <w:pStyle w:val="NormalWeb"/>
                              <w:spacing w:before="0" w:beforeAutospacing="0" w:after="0" w:afterAutospacing="0"/>
                              <w:rPr>
                                <w:rFonts w:ascii="Arial" w:eastAsia="+mn-ea" w:hAnsi="Arial" w:cs="Arial"/>
                                <w:b/>
                                <w:bCs/>
                                <w:color w:val="000000"/>
                                <w:kern w:val="24"/>
                                <w:sz w:val="22"/>
                                <w:szCs w:val="22"/>
                              </w:rPr>
                            </w:pPr>
                          </w:p>
                          <w:p w14:paraId="5BF289B3" w14:textId="7F32102B" w:rsidR="004A22FB" w:rsidRPr="00550CC6" w:rsidRDefault="004A22FB" w:rsidP="004A22FB">
                            <w:pPr>
                              <w:pStyle w:val="NormalWeb"/>
                              <w:spacing w:before="0" w:beforeAutospacing="0" w:after="0" w:afterAutospacing="0"/>
                              <w:rPr>
                                <w:sz w:val="22"/>
                                <w:szCs w:val="22"/>
                              </w:rPr>
                            </w:pPr>
                            <w:r w:rsidRPr="00550CC6">
                              <w:rPr>
                                <w:rFonts w:ascii="Arial" w:eastAsia="+mn-ea" w:hAnsi="Arial" w:cs="Arial"/>
                                <w:b/>
                                <w:bCs/>
                                <w:color w:val="000000"/>
                                <w:kern w:val="24"/>
                                <w:sz w:val="22"/>
                                <w:szCs w:val="22"/>
                              </w:rPr>
                              <w:t>Providers</w:t>
                            </w:r>
                          </w:p>
                        </w:tc>
                        <w:tc>
                          <w:tcPr>
                            <w:tcW w:w="7088" w:type="dxa"/>
                          </w:tcPr>
                          <w:p w14:paraId="02998E45" w14:textId="77777777" w:rsidR="004A22FB" w:rsidRPr="00273DB9" w:rsidRDefault="004A22FB" w:rsidP="00A161AC">
                            <w:pPr>
                              <w:numPr>
                                <w:ilvl w:val="0"/>
                                <w:numId w:val="37"/>
                              </w:numPr>
                              <w:spacing w:after="60" w:line="256" w:lineRule="auto"/>
                              <w:ind w:left="182" w:hanging="142"/>
                              <w:contextualSpacing/>
                              <w:rPr>
                                <w:rFonts w:ascii="Times New Roman" w:eastAsia="Times New Roman" w:hAnsi="Times New Roman" w:cs="Times New Roman"/>
                                <w:kern w:val="0"/>
                                <w:sz w:val="16"/>
                                <w:szCs w:val="16"/>
                                <w:lang w:eastAsia="en-GB"/>
                                <w14:ligatures w14:val="none"/>
                              </w:rPr>
                            </w:pPr>
                            <w:r w:rsidRPr="00273DB9">
                              <w:rPr>
                                <w:rFonts w:eastAsia="Calibri" w:cs="Arial"/>
                                <w:sz w:val="16"/>
                                <w:szCs w:val="16"/>
                                <w:lang w:eastAsia="en-GB"/>
                                <w14:ligatures w14:val="none"/>
                              </w:rPr>
                              <w:t xml:space="preserve">Assessing </w:t>
                            </w:r>
                            <w:r w:rsidRPr="00273DB9">
                              <w:rPr>
                                <w:rFonts w:eastAsia="Calibri" w:cs="Arial"/>
                                <w:b/>
                                <w:bCs/>
                                <w:sz w:val="16"/>
                                <w:szCs w:val="16"/>
                                <w:lang w:eastAsia="en-GB"/>
                                <w14:ligatures w14:val="none"/>
                              </w:rPr>
                              <w:t>provider management and organisational health</w:t>
                            </w:r>
                            <w:r w:rsidRPr="00273DB9">
                              <w:rPr>
                                <w:rFonts w:eastAsia="Calibri" w:cs="Arial"/>
                                <w:sz w:val="16"/>
                                <w:szCs w:val="16"/>
                                <w:lang w:eastAsia="en-GB"/>
                                <w14:ligatures w14:val="none"/>
                              </w:rPr>
                              <w:t>, based on</w:t>
                            </w:r>
                          </w:p>
                          <w:p w14:paraId="57F3924E" w14:textId="77777777" w:rsidR="004A22FB" w:rsidRPr="00273DB9" w:rsidRDefault="004A22FB" w:rsidP="00A161AC">
                            <w:pPr>
                              <w:numPr>
                                <w:ilvl w:val="1"/>
                                <w:numId w:val="38"/>
                              </w:numPr>
                              <w:spacing w:after="60" w:line="256" w:lineRule="auto"/>
                              <w:ind w:left="465" w:hanging="142"/>
                              <w:contextualSpacing/>
                              <w:rPr>
                                <w:rFonts w:ascii="Times New Roman" w:eastAsia="Times New Roman" w:hAnsi="Times New Roman" w:cs="Times New Roman"/>
                                <w:kern w:val="0"/>
                                <w:sz w:val="16"/>
                                <w:szCs w:val="16"/>
                                <w:lang w:eastAsia="en-GB"/>
                                <w14:ligatures w14:val="none"/>
                              </w:rPr>
                            </w:pPr>
                            <w:r w:rsidRPr="00273DB9">
                              <w:rPr>
                                <w:rFonts w:eastAsia="Calibri" w:cs="Arial"/>
                                <w:sz w:val="16"/>
                                <w:szCs w:val="16"/>
                                <w:lang w:eastAsia="en-GB"/>
                                <w14:ligatures w14:val="none"/>
                              </w:rPr>
                              <w:t>CQC well-led rating</w:t>
                            </w:r>
                          </w:p>
                          <w:p w14:paraId="36409EBE" w14:textId="77777777" w:rsidR="004A22FB" w:rsidRPr="00273DB9" w:rsidRDefault="004A22FB" w:rsidP="00A161AC">
                            <w:pPr>
                              <w:numPr>
                                <w:ilvl w:val="1"/>
                                <w:numId w:val="38"/>
                              </w:numPr>
                              <w:spacing w:after="60" w:line="256" w:lineRule="auto"/>
                              <w:ind w:left="465" w:hanging="142"/>
                              <w:contextualSpacing/>
                              <w:rPr>
                                <w:rFonts w:ascii="Times New Roman" w:eastAsia="Times New Roman" w:hAnsi="Times New Roman" w:cs="Times New Roman"/>
                                <w:kern w:val="0"/>
                                <w:sz w:val="16"/>
                                <w:szCs w:val="16"/>
                                <w:lang w:eastAsia="en-GB"/>
                                <w14:ligatures w14:val="none"/>
                              </w:rPr>
                            </w:pPr>
                            <w:r w:rsidRPr="00273DB9">
                              <w:rPr>
                                <w:rFonts w:eastAsia="Calibri" w:cs="Arial"/>
                                <w:sz w:val="16"/>
                                <w:szCs w:val="16"/>
                                <w:lang w:eastAsia="en-GB"/>
                                <w14:ligatures w14:val="none"/>
                              </w:rPr>
                              <w:t>a provider self-certification and track record</w:t>
                            </w:r>
                          </w:p>
                          <w:p w14:paraId="6816B8C9" w14:textId="77777777" w:rsidR="004A22FB" w:rsidRPr="00273DB9" w:rsidRDefault="004A22FB" w:rsidP="00A161AC">
                            <w:pPr>
                              <w:numPr>
                                <w:ilvl w:val="1"/>
                                <w:numId w:val="38"/>
                              </w:numPr>
                              <w:spacing w:after="60" w:line="256" w:lineRule="auto"/>
                              <w:ind w:left="465" w:hanging="142"/>
                              <w:contextualSpacing/>
                              <w:rPr>
                                <w:rFonts w:ascii="Times New Roman" w:eastAsia="Times New Roman" w:hAnsi="Times New Roman" w:cs="Times New Roman"/>
                                <w:kern w:val="0"/>
                                <w:sz w:val="16"/>
                                <w:szCs w:val="16"/>
                                <w:lang w:eastAsia="en-GB"/>
                                <w14:ligatures w14:val="none"/>
                              </w:rPr>
                            </w:pPr>
                            <w:r w:rsidRPr="00273DB9">
                              <w:rPr>
                                <w:rFonts w:eastAsia="Calibri" w:cs="Arial"/>
                                <w:sz w:val="16"/>
                                <w:szCs w:val="16"/>
                                <w:lang w:eastAsia="en-GB"/>
                                <w14:ligatures w14:val="none"/>
                              </w:rPr>
                              <w:t>third party information</w:t>
                            </w:r>
                          </w:p>
                          <w:p w14:paraId="4ABBE816" w14:textId="77777777" w:rsidR="004A22FB" w:rsidRPr="00273DB9" w:rsidRDefault="004A22FB" w:rsidP="00A161AC">
                            <w:pPr>
                              <w:numPr>
                                <w:ilvl w:val="1"/>
                                <w:numId w:val="38"/>
                              </w:numPr>
                              <w:spacing w:line="256" w:lineRule="auto"/>
                              <w:ind w:left="182" w:hanging="142"/>
                              <w:contextualSpacing/>
                              <w:rPr>
                                <w:rFonts w:ascii="Times New Roman" w:eastAsia="Times New Roman" w:hAnsi="Times New Roman" w:cs="Times New Roman"/>
                                <w:kern w:val="0"/>
                                <w:sz w:val="16"/>
                                <w:szCs w:val="16"/>
                                <w:lang w:eastAsia="en-GB"/>
                                <w14:ligatures w14:val="none"/>
                              </w:rPr>
                            </w:pPr>
                            <w:r w:rsidRPr="00273DB9">
                              <w:rPr>
                                <w:rFonts w:eastAsia="Calibri" w:cs="Arial"/>
                                <w:sz w:val="16"/>
                                <w:szCs w:val="16"/>
                                <w:lang w:eastAsia="en-GB"/>
                                <w14:ligatures w14:val="none"/>
                              </w:rPr>
                              <w:t>We will use the capability assessment to moderate the provider's delivery segment.</w:t>
                            </w:r>
                          </w:p>
                        </w:tc>
                      </w:tr>
                      <w:tr w:rsidR="00BE5341" w14:paraId="576F6B3D" w14:textId="77777777" w:rsidTr="00EF4ECF">
                        <w:trPr>
                          <w:trHeight w:val="829"/>
                        </w:trPr>
                        <w:tc>
                          <w:tcPr>
                            <w:tcW w:w="9918" w:type="dxa"/>
                            <w:gridSpan w:val="3"/>
                          </w:tcPr>
                          <w:p w14:paraId="6CD6ACD6" w14:textId="77777777" w:rsidR="009A1B29" w:rsidRPr="009A1B29" w:rsidRDefault="009A1B29" w:rsidP="00A161AC">
                            <w:pPr>
                              <w:pStyle w:val="ListParagraph"/>
                              <w:numPr>
                                <w:ilvl w:val="0"/>
                                <w:numId w:val="34"/>
                              </w:numPr>
                              <w:tabs>
                                <w:tab w:val="clear" w:pos="720"/>
                                <w:tab w:val="num" w:pos="0"/>
                                <w:tab w:val="num" w:pos="360"/>
                                <w:tab w:val="left" w:pos="993"/>
                              </w:tabs>
                              <w:spacing w:after="60" w:line="240" w:lineRule="auto"/>
                              <w:ind w:left="171" w:hanging="171"/>
                              <w:contextualSpacing/>
                              <w:textboxTightWrap w:val="none"/>
                              <w:rPr>
                                <w:rFonts w:ascii="Times New Roman" w:hAnsi="Times New Roman"/>
                                <w:color w:val="auto"/>
                                <w:sz w:val="16"/>
                                <w:szCs w:val="16"/>
                                <w:lang w:eastAsia="en-GB"/>
                              </w:rPr>
                            </w:pPr>
                            <w:r w:rsidRPr="009A1B29">
                              <w:rPr>
                                <w:rFonts w:cs="Arial"/>
                                <w:color w:val="auto"/>
                                <w:kern w:val="24"/>
                                <w:sz w:val="16"/>
                                <w:szCs w:val="16"/>
                                <w:lang w:eastAsia="en-GB"/>
                              </w:rPr>
                              <w:t xml:space="preserve">Delivery segments and capability assessments determine </w:t>
                            </w:r>
                            <w:r w:rsidRPr="009A1B29">
                              <w:rPr>
                                <w:rFonts w:cs="Arial"/>
                                <w:b/>
                                <w:bCs/>
                                <w:color w:val="auto"/>
                                <w:kern w:val="24"/>
                                <w:sz w:val="16"/>
                                <w:szCs w:val="16"/>
                                <w:lang w:eastAsia="en-GB"/>
                              </w:rPr>
                              <w:t>how we work with ICBs to oversee providers</w:t>
                            </w:r>
                            <w:r w:rsidRPr="009A1B29">
                              <w:rPr>
                                <w:rFonts w:cs="Arial"/>
                                <w:b/>
                                <w:bCs/>
                                <w:color w:val="auto"/>
                                <w:kern w:val="24"/>
                                <w:sz w:val="16"/>
                                <w:szCs w:val="16"/>
                                <w:lang w:val="en-US" w:eastAsia="en-GB"/>
                              </w:rPr>
                              <w:t xml:space="preserve"> </w:t>
                            </w:r>
                            <w:r w:rsidRPr="009A1B29">
                              <w:rPr>
                                <w:rFonts w:cs="Arial"/>
                                <w:color w:val="auto"/>
                                <w:kern w:val="24"/>
                                <w:sz w:val="16"/>
                                <w:szCs w:val="16"/>
                                <w:lang w:val="en-US" w:eastAsia="en-GB"/>
                              </w:rPr>
                              <w:t>(section 3)</w:t>
                            </w:r>
                          </w:p>
                          <w:p w14:paraId="02B175D2" w14:textId="77777777" w:rsidR="009A1B29" w:rsidRPr="009A1B29" w:rsidRDefault="009A1B29" w:rsidP="00A161AC">
                            <w:pPr>
                              <w:pStyle w:val="ListParagraph"/>
                              <w:numPr>
                                <w:ilvl w:val="0"/>
                                <w:numId w:val="34"/>
                              </w:numPr>
                              <w:tabs>
                                <w:tab w:val="clear" w:pos="720"/>
                                <w:tab w:val="left" w:pos="993"/>
                              </w:tabs>
                              <w:spacing w:after="60" w:line="240" w:lineRule="auto"/>
                              <w:ind w:left="171" w:hanging="171"/>
                              <w:contextualSpacing/>
                              <w:textboxTightWrap w:val="none"/>
                              <w:rPr>
                                <w:rFonts w:ascii="Times New Roman" w:hAnsi="Times New Roman"/>
                                <w:color w:val="auto"/>
                                <w:sz w:val="16"/>
                                <w:szCs w:val="16"/>
                                <w:lang w:eastAsia="en-GB"/>
                              </w:rPr>
                            </w:pPr>
                            <w:r w:rsidRPr="009A1B29">
                              <w:rPr>
                                <w:rFonts w:cs="Arial"/>
                                <w:color w:val="auto"/>
                                <w:kern w:val="24"/>
                                <w:sz w:val="16"/>
                                <w:szCs w:val="16"/>
                                <w:lang w:eastAsia="en-GB"/>
                              </w:rPr>
                              <w:t xml:space="preserve">The delivery segmentation </w:t>
                            </w:r>
                            <w:r w:rsidRPr="009A1B29">
                              <w:rPr>
                                <w:rFonts w:cs="Arial"/>
                                <w:b/>
                                <w:bCs/>
                                <w:color w:val="auto"/>
                                <w:kern w:val="24"/>
                                <w:sz w:val="16"/>
                                <w:szCs w:val="16"/>
                                <w:lang w:eastAsia="en-GB"/>
                              </w:rPr>
                              <w:t>will drive NHS England's response</w:t>
                            </w:r>
                            <w:r w:rsidRPr="009A1B29">
                              <w:rPr>
                                <w:rFonts w:cs="Arial"/>
                                <w:color w:val="auto"/>
                                <w:kern w:val="24"/>
                                <w:sz w:val="16"/>
                                <w:szCs w:val="16"/>
                                <w:lang w:eastAsia="en-GB"/>
                              </w:rPr>
                              <w:t>, e.g. provision of support, increased scrutiny, and/or direct intervention (section 4)</w:t>
                            </w:r>
                          </w:p>
                          <w:p w14:paraId="617B6F73" w14:textId="055F0E9F" w:rsidR="009A1B29" w:rsidRPr="00EF4ECF" w:rsidRDefault="009A1B29" w:rsidP="00A161AC">
                            <w:pPr>
                              <w:pStyle w:val="ListParagraph"/>
                              <w:numPr>
                                <w:ilvl w:val="0"/>
                                <w:numId w:val="34"/>
                              </w:numPr>
                              <w:tabs>
                                <w:tab w:val="clear" w:pos="720"/>
                                <w:tab w:val="left" w:pos="993"/>
                              </w:tabs>
                              <w:spacing w:after="60" w:line="240" w:lineRule="auto"/>
                              <w:ind w:left="171" w:hanging="171"/>
                              <w:contextualSpacing/>
                              <w:textboxTightWrap w:val="none"/>
                              <w:rPr>
                                <w:rFonts w:ascii="Times New Roman" w:eastAsia="Calibri" w:hAnsi="Times New Roman"/>
                                <w:color w:val="auto"/>
                                <w:sz w:val="16"/>
                                <w:szCs w:val="16"/>
                                <w:lang w:eastAsia="en-GB"/>
                              </w:rPr>
                            </w:pPr>
                            <w:r w:rsidRPr="009A1B29">
                              <w:rPr>
                                <w:rFonts w:ascii="Calibri" w:hAnsi="Calibri" w:cs="Arial"/>
                                <w:color w:val="auto"/>
                                <w:kern w:val="24"/>
                                <w:sz w:val="16"/>
                                <w:szCs w:val="16"/>
                                <w:lang w:eastAsia="en-GB"/>
                              </w:rPr>
                              <w:t>The ICB </w:t>
                            </w:r>
                            <w:r w:rsidRPr="009A1B29">
                              <w:rPr>
                                <w:rFonts w:ascii="Calibri" w:hAnsi="Calibri" w:cs="Arial"/>
                                <w:b/>
                                <w:bCs/>
                                <w:color w:val="auto"/>
                                <w:kern w:val="24"/>
                                <w:sz w:val="16"/>
                                <w:szCs w:val="16"/>
                                <w:lang w:eastAsia="en-GB"/>
                              </w:rPr>
                              <w:t>capability rating</w:t>
                            </w:r>
                            <w:r w:rsidRPr="009A1B29">
                              <w:rPr>
                                <w:rFonts w:ascii="Calibri" w:hAnsi="Calibri" w:cs="Arial"/>
                                <w:color w:val="auto"/>
                                <w:kern w:val="24"/>
                                <w:sz w:val="16"/>
                                <w:szCs w:val="16"/>
                                <w:lang w:eastAsia="en-GB"/>
                              </w:rPr>
                              <w:t> and an annual </w:t>
                            </w:r>
                            <w:r w:rsidRPr="009A1B29">
                              <w:rPr>
                                <w:rFonts w:ascii="Calibri" w:hAnsi="Calibri" w:cs="Arial"/>
                                <w:b/>
                                <w:bCs/>
                                <w:color w:val="auto"/>
                                <w:kern w:val="24"/>
                                <w:sz w:val="16"/>
                                <w:szCs w:val="16"/>
                                <w:lang w:eastAsia="en-GB"/>
                              </w:rPr>
                              <w:t>delivery segmentation</w:t>
                            </w:r>
                            <w:r w:rsidRPr="009A1B29">
                              <w:rPr>
                                <w:rFonts w:ascii="Calibri" w:hAnsi="Calibri" w:cs="Arial"/>
                                <w:color w:val="auto"/>
                                <w:kern w:val="24"/>
                                <w:sz w:val="16"/>
                                <w:szCs w:val="16"/>
                                <w:lang w:eastAsia="en-GB"/>
                              </w:rPr>
                              <w:t xml:space="preserve"> will be published as part of the </w:t>
                            </w:r>
                            <w:r w:rsidRPr="009A1B29">
                              <w:rPr>
                                <w:rFonts w:ascii="Calibri" w:hAnsi="Calibri" w:cs="Arial"/>
                                <w:b/>
                                <w:bCs/>
                                <w:color w:val="auto"/>
                                <w:kern w:val="24"/>
                                <w:sz w:val="16"/>
                                <w:szCs w:val="16"/>
                                <w:lang w:eastAsia="en-GB"/>
                              </w:rPr>
                              <w:t xml:space="preserve">ICB annual assessment </w:t>
                            </w:r>
                            <w:r w:rsidRPr="009A1B29">
                              <w:rPr>
                                <w:rFonts w:ascii="Calibri" w:hAnsi="Calibri" w:cs="Arial"/>
                                <w:color w:val="auto"/>
                                <w:kern w:val="24"/>
                                <w:sz w:val="16"/>
                                <w:szCs w:val="16"/>
                                <w:lang w:eastAsia="en-GB"/>
                              </w:rPr>
                              <w:t>(section 5)</w:t>
                            </w:r>
                          </w:p>
                        </w:tc>
                      </w:tr>
                    </w:tbl>
                    <w:p w14:paraId="350F6D1C" w14:textId="77777777" w:rsidR="00D81A5C" w:rsidRDefault="00D81A5C"/>
                    <w:p w14:paraId="7E2DFABB" w14:textId="77777777" w:rsidR="004A22FB" w:rsidRDefault="004A22FB"/>
                  </w:txbxContent>
                </v:textbox>
                <w10:wrap anchorx="margin"/>
              </v:shape>
            </w:pict>
          </mc:Fallback>
        </mc:AlternateContent>
      </w:r>
    </w:p>
    <w:p w14:paraId="339299A2" w14:textId="41606BA8" w:rsidR="00AB4B85" w:rsidRPr="00A161AC" w:rsidRDefault="00AB4B85" w:rsidP="00AB4B85">
      <w:pPr>
        <w:pStyle w:val="Numberedlist"/>
        <w:numPr>
          <w:ilvl w:val="0"/>
          <w:numId w:val="0"/>
        </w:numPr>
        <w:spacing w:after="0"/>
        <w:ind w:left="3195" w:hanging="360"/>
      </w:pPr>
    </w:p>
    <w:p w14:paraId="5654286F" w14:textId="10C47285" w:rsidR="00AB4B85" w:rsidRPr="00A161AC" w:rsidRDefault="00AB4B85" w:rsidP="00AB4B85">
      <w:pPr>
        <w:pStyle w:val="Numberedlist"/>
        <w:numPr>
          <w:ilvl w:val="0"/>
          <w:numId w:val="0"/>
        </w:numPr>
        <w:spacing w:after="0"/>
        <w:ind w:left="3195" w:hanging="360"/>
      </w:pPr>
    </w:p>
    <w:p w14:paraId="192B15A5" w14:textId="23337098" w:rsidR="00AB4B85" w:rsidRPr="00A161AC" w:rsidRDefault="00AB4B85" w:rsidP="00AB4B85">
      <w:pPr>
        <w:pStyle w:val="Numberedlist"/>
        <w:numPr>
          <w:ilvl w:val="0"/>
          <w:numId w:val="0"/>
        </w:numPr>
        <w:spacing w:after="0"/>
        <w:ind w:left="3195" w:hanging="360"/>
      </w:pPr>
    </w:p>
    <w:p w14:paraId="44151B13" w14:textId="05DA4D82" w:rsidR="00AB4B85" w:rsidRPr="00A161AC" w:rsidRDefault="00AB4B85" w:rsidP="00AB4B85">
      <w:pPr>
        <w:pStyle w:val="Numberedlist"/>
        <w:numPr>
          <w:ilvl w:val="0"/>
          <w:numId w:val="0"/>
        </w:numPr>
        <w:spacing w:after="0"/>
        <w:ind w:left="3195" w:hanging="360"/>
      </w:pPr>
    </w:p>
    <w:p w14:paraId="1860A325" w14:textId="67E837F9" w:rsidR="00A71DCB" w:rsidRPr="00A161AC" w:rsidRDefault="00A71DCB" w:rsidP="00FC33C8">
      <w:pPr>
        <w:pStyle w:val="Numberedlist"/>
        <w:numPr>
          <w:ilvl w:val="0"/>
          <w:numId w:val="0"/>
        </w:numPr>
        <w:ind w:left="1899"/>
        <w:rPr>
          <w:u w:val="single"/>
        </w:rPr>
      </w:pPr>
    </w:p>
    <w:p w14:paraId="2D5CA5F3" w14:textId="5C2F1E29" w:rsidR="009278C8" w:rsidRPr="00A161AC" w:rsidRDefault="009278C8" w:rsidP="00FC33C8">
      <w:pPr>
        <w:pStyle w:val="Numberedlist"/>
        <w:numPr>
          <w:ilvl w:val="0"/>
          <w:numId w:val="0"/>
        </w:numPr>
        <w:ind w:left="1899"/>
        <w:rPr>
          <w:u w:val="single"/>
        </w:rPr>
      </w:pPr>
    </w:p>
    <w:p w14:paraId="67DA7162" w14:textId="51AB3444" w:rsidR="009278C8" w:rsidRPr="00A161AC" w:rsidRDefault="009278C8" w:rsidP="00FC33C8">
      <w:pPr>
        <w:pStyle w:val="Numberedlist"/>
        <w:numPr>
          <w:ilvl w:val="0"/>
          <w:numId w:val="0"/>
        </w:numPr>
        <w:ind w:left="1899"/>
        <w:rPr>
          <w:u w:val="single"/>
        </w:rPr>
      </w:pPr>
    </w:p>
    <w:p w14:paraId="2BC5A34F" w14:textId="25CC4B0B" w:rsidR="009278C8" w:rsidRPr="00A161AC" w:rsidRDefault="009278C8" w:rsidP="00FC33C8">
      <w:pPr>
        <w:pStyle w:val="Numberedlist"/>
        <w:numPr>
          <w:ilvl w:val="0"/>
          <w:numId w:val="0"/>
        </w:numPr>
        <w:ind w:left="1899"/>
        <w:rPr>
          <w:u w:val="single"/>
        </w:rPr>
      </w:pPr>
    </w:p>
    <w:p w14:paraId="7D39DECA" w14:textId="0A81EF34" w:rsidR="009278C8" w:rsidRPr="00A161AC" w:rsidRDefault="009278C8" w:rsidP="00FC33C8">
      <w:pPr>
        <w:pStyle w:val="Numberedlist"/>
        <w:numPr>
          <w:ilvl w:val="0"/>
          <w:numId w:val="0"/>
        </w:numPr>
        <w:ind w:left="1899"/>
        <w:rPr>
          <w:u w:val="single"/>
        </w:rPr>
      </w:pPr>
    </w:p>
    <w:p w14:paraId="146B9FDC" w14:textId="5F02D185" w:rsidR="009278C8" w:rsidRPr="00A161AC" w:rsidRDefault="009278C8" w:rsidP="00EF4ECF">
      <w:pPr>
        <w:pStyle w:val="Numberedlist"/>
        <w:numPr>
          <w:ilvl w:val="0"/>
          <w:numId w:val="0"/>
        </w:numPr>
        <w:ind w:left="3195" w:hanging="360"/>
        <w:rPr>
          <w:u w:val="single"/>
        </w:rPr>
      </w:pPr>
    </w:p>
    <w:p w14:paraId="64170143" w14:textId="40814B9F" w:rsidR="009278C8" w:rsidRPr="00A161AC" w:rsidRDefault="009278C8" w:rsidP="00FC33C8">
      <w:pPr>
        <w:pStyle w:val="Numberedlist"/>
        <w:numPr>
          <w:ilvl w:val="0"/>
          <w:numId w:val="0"/>
        </w:numPr>
        <w:ind w:left="1899"/>
        <w:rPr>
          <w:u w:val="single"/>
        </w:rPr>
      </w:pPr>
    </w:p>
    <w:p w14:paraId="2C4AEDE1" w14:textId="10CCB6BE" w:rsidR="009278C8" w:rsidRPr="00A161AC" w:rsidRDefault="009278C8" w:rsidP="00FC33C8">
      <w:pPr>
        <w:pStyle w:val="Numberedlist"/>
        <w:numPr>
          <w:ilvl w:val="0"/>
          <w:numId w:val="0"/>
        </w:numPr>
        <w:ind w:left="1899"/>
        <w:rPr>
          <w:u w:val="single"/>
        </w:rPr>
      </w:pPr>
    </w:p>
    <w:p w14:paraId="4E6F4C4D" w14:textId="0188D932" w:rsidR="009278C8" w:rsidRPr="00A161AC" w:rsidRDefault="009278C8" w:rsidP="00FC33C8">
      <w:pPr>
        <w:pStyle w:val="Numberedlist"/>
        <w:numPr>
          <w:ilvl w:val="0"/>
          <w:numId w:val="0"/>
        </w:numPr>
        <w:ind w:left="1899"/>
        <w:rPr>
          <w:u w:val="single"/>
        </w:rPr>
      </w:pPr>
    </w:p>
    <w:p w14:paraId="0649DF76" w14:textId="2D2752F5" w:rsidR="009278C8" w:rsidRPr="00A161AC" w:rsidRDefault="009278C8" w:rsidP="00FC33C8">
      <w:pPr>
        <w:pStyle w:val="Numberedlist"/>
        <w:numPr>
          <w:ilvl w:val="0"/>
          <w:numId w:val="0"/>
        </w:numPr>
        <w:ind w:left="1899"/>
        <w:rPr>
          <w:u w:val="single"/>
        </w:rPr>
      </w:pPr>
    </w:p>
    <w:p w14:paraId="544C9BE1" w14:textId="44CC2D0A" w:rsidR="009278C8" w:rsidRPr="00A161AC" w:rsidRDefault="009278C8" w:rsidP="00FC33C8">
      <w:pPr>
        <w:pStyle w:val="Numberedlist"/>
        <w:numPr>
          <w:ilvl w:val="0"/>
          <w:numId w:val="0"/>
        </w:numPr>
        <w:ind w:left="1899"/>
        <w:rPr>
          <w:u w:val="single"/>
        </w:rPr>
      </w:pPr>
    </w:p>
    <w:p w14:paraId="0F7B4BC2" w14:textId="04633346" w:rsidR="000C0576" w:rsidRPr="00A161AC" w:rsidRDefault="00A71DCB" w:rsidP="00EF4ECF">
      <w:pPr>
        <w:pStyle w:val="Numberedlist"/>
        <w:numPr>
          <w:ilvl w:val="0"/>
          <w:numId w:val="0"/>
        </w:numPr>
      </w:pPr>
      <w:r w:rsidRPr="00A161AC">
        <w:rPr>
          <w:sz w:val="20"/>
          <w:szCs w:val="20"/>
        </w:rPr>
        <w:t xml:space="preserve">Figure </w:t>
      </w:r>
      <w:r w:rsidR="004A446E" w:rsidRPr="00A161AC">
        <w:rPr>
          <w:sz w:val="20"/>
          <w:szCs w:val="20"/>
        </w:rPr>
        <w:t>2</w:t>
      </w:r>
      <w:r w:rsidRPr="00A161AC">
        <w:rPr>
          <w:sz w:val="20"/>
          <w:szCs w:val="20"/>
        </w:rPr>
        <w:t>: An overview of NHS England’s oversight and assessment approach</w:t>
      </w:r>
    </w:p>
    <w:p w14:paraId="7DD32DA4" w14:textId="3DA29CEA" w:rsidR="007D3A89" w:rsidRPr="00A161AC" w:rsidRDefault="007D3A89" w:rsidP="00492351">
      <w:pPr>
        <w:pStyle w:val="Numberedlist"/>
        <w:spacing w:before="300" w:after="0"/>
        <w:ind w:left="714" w:hanging="357"/>
      </w:pPr>
      <w:r w:rsidRPr="00A161AC">
        <w:t>A critical element of the oversight cycle (</w:t>
      </w:r>
      <w:r w:rsidR="00113616" w:rsidRPr="00A161AC">
        <w:t>see f</w:t>
      </w:r>
      <w:r w:rsidRPr="00A161AC">
        <w:t xml:space="preserve">igure </w:t>
      </w:r>
      <w:r w:rsidR="004A446E" w:rsidRPr="00A161AC">
        <w:t>3</w:t>
      </w:r>
      <w:r w:rsidRPr="00A161AC">
        <w:t xml:space="preserve">) is the early identification of emerging issues and concerns so that they can be addressed before they have a material impact or performance deteriorates further. ICBs and providers are expected to escalate issues where there are significant actual or prospective changes in performance or quality risks in line with our </w:t>
      </w:r>
      <w:r w:rsidR="003974F1" w:rsidRPr="00A161AC">
        <w:t>o</w:t>
      </w:r>
      <w:r w:rsidRPr="00A161AC">
        <w:t xml:space="preserve">perating </w:t>
      </w:r>
      <w:r w:rsidR="003974F1" w:rsidRPr="00A161AC">
        <w:t>f</w:t>
      </w:r>
      <w:r w:rsidRPr="00A161AC">
        <w:t xml:space="preserve">ramework. </w:t>
      </w:r>
    </w:p>
    <w:p w14:paraId="73E84CF0" w14:textId="77777777" w:rsidR="007D3A89" w:rsidRPr="00A161AC" w:rsidRDefault="007D3A89" w:rsidP="005960B6">
      <w:pPr>
        <w:pStyle w:val="Numberedlist"/>
        <w:numPr>
          <w:ilvl w:val="0"/>
          <w:numId w:val="0"/>
        </w:numPr>
        <w:ind w:left="720" w:hanging="360"/>
        <w:rPr>
          <w:sz w:val="20"/>
          <w:szCs w:val="20"/>
        </w:rPr>
      </w:pPr>
    </w:p>
    <w:p w14:paraId="5E1F2C55" w14:textId="1CC146D9" w:rsidR="007D3A89" w:rsidRPr="00A161AC" w:rsidRDefault="007D3A89" w:rsidP="005960B6">
      <w:pPr>
        <w:pStyle w:val="Numberedlist"/>
        <w:numPr>
          <w:ilvl w:val="0"/>
          <w:numId w:val="0"/>
        </w:numPr>
        <w:ind w:left="720" w:hanging="360"/>
        <w:rPr>
          <w:sz w:val="20"/>
          <w:szCs w:val="20"/>
        </w:rPr>
      </w:pPr>
      <w:r w:rsidRPr="00A161AC">
        <w:rPr>
          <w:noProof/>
        </w:rPr>
        <w:drawing>
          <wp:inline distT="0" distB="0" distL="0" distR="0" wp14:anchorId="3DC7C182" wp14:editId="1440B999">
            <wp:extent cx="5082363" cy="2721935"/>
            <wp:effectExtent l="0" t="0" r="0" b="0"/>
            <wp:docPr id="1961555528" name="Diagram 1" descr="Diagram showing the 3 main elements of the oversight cycle: identifying scale and nature of support or intervention needs; implementing support or intervention activity; monitoring ICBs and provide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4016896F" w14:textId="11AC69A3" w:rsidR="000C0576" w:rsidRPr="00A161AC" w:rsidRDefault="007D3A89" w:rsidP="00060B73">
      <w:pPr>
        <w:spacing w:after="0" w:line="240" w:lineRule="auto"/>
        <w:ind w:firstLine="426"/>
        <w:textboxTightWrap w:val="none"/>
        <w:rPr>
          <w:sz w:val="20"/>
          <w:szCs w:val="20"/>
        </w:rPr>
      </w:pPr>
      <w:r w:rsidRPr="00A161AC">
        <w:rPr>
          <w:sz w:val="20"/>
          <w:szCs w:val="20"/>
        </w:rPr>
        <w:t xml:space="preserve">Figure </w:t>
      </w:r>
      <w:r w:rsidR="004A446E" w:rsidRPr="00A161AC">
        <w:rPr>
          <w:sz w:val="20"/>
          <w:szCs w:val="20"/>
        </w:rPr>
        <w:t>3</w:t>
      </w:r>
      <w:r w:rsidRPr="00A161AC">
        <w:rPr>
          <w:sz w:val="20"/>
          <w:szCs w:val="20"/>
        </w:rPr>
        <w:t>: the oversight cycle</w:t>
      </w:r>
      <w:r w:rsidR="000C0576" w:rsidRPr="00A161AC">
        <w:rPr>
          <w:sz w:val="20"/>
          <w:szCs w:val="20"/>
        </w:rPr>
        <w:br w:type="page"/>
      </w:r>
    </w:p>
    <w:p w14:paraId="7EA4E9AE" w14:textId="77777777" w:rsidR="00EC0EB2" w:rsidRPr="00A161AC" w:rsidRDefault="00EC0EB2" w:rsidP="00EC0EB2">
      <w:pPr>
        <w:pStyle w:val="h2numbered"/>
      </w:pPr>
      <w:bookmarkStart w:id="7" w:name="_Toc160636205"/>
      <w:bookmarkStart w:id="8" w:name="_Toc163574920"/>
      <w:r w:rsidRPr="00A161AC">
        <w:lastRenderedPageBreak/>
        <w:t>Roles and Responsibilities</w:t>
      </w:r>
      <w:bookmarkEnd w:id="7"/>
      <w:bookmarkEnd w:id="8"/>
    </w:p>
    <w:p w14:paraId="4BB13428" w14:textId="2B390AF0" w:rsidR="00EC0EB2" w:rsidRPr="00A161AC" w:rsidRDefault="00EC0EB2" w:rsidP="009B7D14">
      <w:pPr>
        <w:pStyle w:val="Numberedlist"/>
        <w:spacing w:after="0"/>
        <w:ind w:left="714" w:hanging="357"/>
        <w:rPr>
          <w:rStyle w:val="BodyTextChar"/>
          <w:rFonts w:eastAsia="Times New Roman" w:cs="Times New Roman"/>
          <w:color w:val="000000"/>
        </w:rPr>
      </w:pPr>
      <w:r w:rsidRPr="00A161AC">
        <w:t>The NHS England Operating Framework defines each organisation’s roles and responsibilities in oversight</w:t>
      </w:r>
      <w:r w:rsidR="00E66D8A" w:rsidRPr="00A161AC">
        <w:t>.</w:t>
      </w:r>
      <w:r w:rsidRPr="00A161AC">
        <w:t xml:space="preserve"> We are responsible for overseeing the performance of ICBs and providers but may choose to ask ICBs to carry out the oversight of providers in their NHS systems in the first instance.</w:t>
      </w:r>
    </w:p>
    <w:p w14:paraId="15E52461" w14:textId="77777777" w:rsidR="00EC0EB2" w:rsidRPr="00A161AC" w:rsidRDefault="00EC0EB2" w:rsidP="00EC0EB2">
      <w:pPr>
        <w:pStyle w:val="Numberedlist"/>
        <w:numPr>
          <w:ilvl w:val="0"/>
          <w:numId w:val="0"/>
        </w:numPr>
        <w:tabs>
          <w:tab w:val="left" w:pos="1134"/>
        </w:tabs>
        <w:ind w:left="992" w:hanging="425"/>
      </w:pPr>
    </w:p>
    <w:p w14:paraId="12B16A6B" w14:textId="34DEB154" w:rsidR="00EC0EB2" w:rsidRPr="00A161AC" w:rsidRDefault="00EC0EB2" w:rsidP="009B7D14">
      <w:pPr>
        <w:pStyle w:val="Numberedlist"/>
        <w:spacing w:after="0"/>
        <w:ind w:left="714" w:hanging="357"/>
      </w:pPr>
      <w:r w:rsidRPr="00A161AC">
        <w:t>ICBs are responsible for arranging for the provision of healthcare services to meet the health needs of its local population, alongside other statutory duties. The</w:t>
      </w:r>
      <w:r w:rsidR="00AA75AA" w:rsidRPr="00A161AC">
        <w:t xml:space="preserve"> ICB is the</w:t>
      </w:r>
      <w:r w:rsidRPr="00A161AC">
        <w:t xml:space="preserve"> leaders of the NHS system within </w:t>
      </w:r>
      <w:r w:rsidR="002E4EFC" w:rsidRPr="00A161AC">
        <w:t>its</w:t>
      </w:r>
      <w:r w:rsidRPr="00A161AC">
        <w:t xml:space="preserve"> ICS and oversee</w:t>
      </w:r>
      <w:r w:rsidR="002E4EFC" w:rsidRPr="00A161AC">
        <w:t>s</w:t>
      </w:r>
      <w:r w:rsidRPr="00A161AC">
        <w:t xml:space="preserve"> the delivery of joint system plans and strategies</w:t>
      </w:r>
      <w:r w:rsidR="008B62D2" w:rsidRPr="00A161AC">
        <w:t xml:space="preserve"> </w:t>
      </w:r>
      <w:r w:rsidR="00E15E6D" w:rsidRPr="00A161AC">
        <w:t>requiring</w:t>
      </w:r>
      <w:r w:rsidR="008B62D2" w:rsidRPr="00A161AC">
        <w:t xml:space="preserve"> mutual accountability</w:t>
      </w:r>
      <w:r w:rsidRPr="00A161AC">
        <w:t xml:space="preserve">. A key element of discharging </w:t>
      </w:r>
      <w:r w:rsidR="001626A9" w:rsidRPr="00A161AC">
        <w:t>its</w:t>
      </w:r>
      <w:r w:rsidRPr="00A161AC">
        <w:t xml:space="preserve"> responsibilities is to ensure that the service-delivery models in </w:t>
      </w:r>
      <w:r w:rsidR="001626A9" w:rsidRPr="00A161AC">
        <w:t>its</w:t>
      </w:r>
      <w:r w:rsidRPr="00A161AC">
        <w:t xml:space="preserve"> NHS system </w:t>
      </w:r>
      <w:r w:rsidR="001626A9" w:rsidRPr="00A161AC">
        <w:t>are working effectively</w:t>
      </w:r>
      <w:r w:rsidRPr="00A161AC">
        <w:t xml:space="preserve"> via place-based partnerships, provider collaboratives, </w:t>
      </w:r>
      <w:r w:rsidR="00AE7638" w:rsidRPr="00A161AC">
        <w:t>the primary-secondary care interface</w:t>
      </w:r>
      <w:r w:rsidRPr="00A161AC">
        <w:t xml:space="preserve"> </w:t>
      </w:r>
      <w:r w:rsidR="00470CE6" w:rsidRPr="00A161AC">
        <w:t>and integrated neighbourhood teams</w:t>
      </w:r>
      <w:r w:rsidRPr="00A161AC">
        <w:t xml:space="preserve">. </w:t>
      </w:r>
      <w:r w:rsidR="00DE3D0E" w:rsidRPr="00A161AC">
        <w:t>It</w:t>
      </w:r>
      <w:r w:rsidRPr="00A161AC">
        <w:t xml:space="preserve"> should lead the oversight of individual providers in line with the principles outlined in this document, and co-ordinate support or interventions within </w:t>
      </w:r>
      <w:r w:rsidR="00DE3D0E" w:rsidRPr="00A161AC">
        <w:t>its</w:t>
      </w:r>
      <w:r w:rsidRPr="00A161AC">
        <w:t xml:space="preserve"> NHS system, where appropriate, working in partnership with us.</w:t>
      </w:r>
      <w:r w:rsidR="00470CE6" w:rsidRPr="00A161AC">
        <w:t xml:space="preserve"> We also expect all ICBs to have a robust commissioning approach that works with local communities, providers of health </w:t>
      </w:r>
      <w:r w:rsidR="003C18A0" w:rsidRPr="00A161AC">
        <w:t>ca</w:t>
      </w:r>
      <w:r w:rsidR="00470CE6" w:rsidRPr="00A161AC">
        <w:t xml:space="preserve">re services and their local authorities in </w:t>
      </w:r>
      <w:r w:rsidR="00DE3D0E" w:rsidRPr="00A161AC">
        <w:t xml:space="preserve">a </w:t>
      </w:r>
      <w:r w:rsidR="00470CE6" w:rsidRPr="00A161AC">
        <w:t>partnership manner.</w:t>
      </w:r>
    </w:p>
    <w:p w14:paraId="3B4C41CB" w14:textId="77777777" w:rsidR="00EC0EB2" w:rsidRPr="00A161AC" w:rsidRDefault="00EC0EB2" w:rsidP="00EC0EB2">
      <w:pPr>
        <w:pStyle w:val="Numberedlist"/>
        <w:numPr>
          <w:ilvl w:val="0"/>
          <w:numId w:val="0"/>
        </w:numPr>
        <w:ind w:left="992" w:hanging="425"/>
      </w:pPr>
    </w:p>
    <w:p w14:paraId="61772A6F" w14:textId="306FE6C6" w:rsidR="00A306EC" w:rsidRPr="00A161AC" w:rsidRDefault="00EC0EB2" w:rsidP="009B7D14">
      <w:pPr>
        <w:pStyle w:val="Numberedlist"/>
        <w:numPr>
          <w:ilvl w:val="0"/>
          <w:numId w:val="4"/>
        </w:numPr>
        <w:spacing w:after="0"/>
        <w:ind w:left="714" w:hanging="357"/>
      </w:pPr>
      <w:r w:rsidRPr="00A161AC">
        <w:t>Providers are responsible for providing safe, effective, efficient, and high-quality services. The</w:t>
      </w:r>
      <w:r w:rsidR="00462681" w:rsidRPr="00A161AC">
        <w:t xml:space="preserve"> provider</w:t>
      </w:r>
      <w:r w:rsidRPr="00A161AC">
        <w:t xml:space="preserve"> must work effectively with </w:t>
      </w:r>
      <w:r w:rsidR="00462681" w:rsidRPr="00A161AC">
        <w:t>its</w:t>
      </w:r>
      <w:r w:rsidRPr="00A161AC">
        <w:t xml:space="preserve"> NHS system partners to deliver </w:t>
      </w:r>
      <w:r w:rsidR="00462681" w:rsidRPr="00A161AC">
        <w:t>its</w:t>
      </w:r>
      <w:r w:rsidRPr="00A161AC">
        <w:t xml:space="preserve"> contributions to shared objectives, plans and priorities, including financial and operational performance. </w:t>
      </w:r>
      <w:r w:rsidR="00A76DDB" w:rsidRPr="00A161AC">
        <w:t>It</w:t>
      </w:r>
      <w:r w:rsidRPr="00A161AC">
        <w:t xml:space="preserve"> must comply with the </w:t>
      </w:r>
      <w:r w:rsidR="00A76DDB" w:rsidRPr="00A161AC">
        <w:t>NHS p</w:t>
      </w:r>
      <w:r w:rsidRPr="00A161AC">
        <w:t xml:space="preserve">rovider </w:t>
      </w:r>
      <w:r w:rsidR="00A76DDB" w:rsidRPr="00A161AC">
        <w:t>l</w:t>
      </w:r>
      <w:r w:rsidRPr="00A161AC">
        <w:t>icen</w:t>
      </w:r>
      <w:r w:rsidR="009910BE" w:rsidRPr="00A161AC">
        <w:t>c</w:t>
      </w:r>
      <w:r w:rsidRPr="00A161AC">
        <w:t xml:space="preserve">e and standards set by regulators.  </w:t>
      </w:r>
    </w:p>
    <w:p w14:paraId="106A84D9" w14:textId="4AEA65D8" w:rsidR="00A306EC" w:rsidRPr="00A161AC" w:rsidRDefault="00A70837" w:rsidP="00A70837">
      <w:pPr>
        <w:pStyle w:val="h3numbered"/>
      </w:pPr>
      <w:bookmarkStart w:id="9" w:name="_Toc163574921"/>
      <w:r w:rsidRPr="00A161AC">
        <w:t>Oversight of Providers</w:t>
      </w:r>
      <w:bookmarkEnd w:id="9"/>
    </w:p>
    <w:p w14:paraId="724A687B" w14:textId="28A5FD0B" w:rsidR="00A70837" w:rsidRPr="00A161AC" w:rsidRDefault="00A70837" w:rsidP="009B7D14">
      <w:pPr>
        <w:pStyle w:val="Numberedlist"/>
        <w:numPr>
          <w:ilvl w:val="0"/>
          <w:numId w:val="4"/>
        </w:numPr>
        <w:spacing w:after="0"/>
        <w:ind w:left="714" w:hanging="357"/>
      </w:pPr>
      <w:r w:rsidRPr="00A161AC">
        <w:t>ICBs and NHS England both have responsibilities to oversee providers under the NHS Act 2006. ICBs</w:t>
      </w:r>
      <w:r w:rsidR="004F4705" w:rsidRPr="00A161AC">
        <w:t xml:space="preserve">, </w:t>
      </w:r>
      <w:r w:rsidR="008F6BF5" w:rsidRPr="00A161AC">
        <w:t>using</w:t>
      </w:r>
      <w:r w:rsidR="004F4705" w:rsidRPr="00A161AC">
        <w:t xml:space="preserve"> their contractual powers,</w:t>
      </w:r>
      <w:r w:rsidRPr="00A161AC">
        <w:t xml:space="preserve"> ensure the services they commission from the provider are high quality, value for money and sustainable. NHS England ensures the timely and proportionate use of its statutory powers to intervene and if necessary, </w:t>
      </w:r>
      <w:r w:rsidR="005F1C0B" w:rsidRPr="00A161AC">
        <w:t>require action from</w:t>
      </w:r>
      <w:r w:rsidRPr="00A161AC">
        <w:t xml:space="preserve"> providers that are at risk of underperformance. </w:t>
      </w:r>
      <w:r w:rsidR="00F43085" w:rsidRPr="00A161AC">
        <w:t>In particular, this involves the use of our</w:t>
      </w:r>
      <w:r w:rsidRPr="00A161AC">
        <w:t xml:space="preserve"> statutory powers to take enforcement action against a provider if there is a suspected or actual breach of its licence.</w:t>
      </w:r>
    </w:p>
    <w:p w14:paraId="2B973D08" w14:textId="77777777" w:rsidR="00A70837" w:rsidRPr="00A161AC" w:rsidRDefault="00A70837" w:rsidP="00A70837">
      <w:pPr>
        <w:pStyle w:val="Numberedlist"/>
        <w:numPr>
          <w:ilvl w:val="0"/>
          <w:numId w:val="0"/>
        </w:numPr>
        <w:ind w:left="1134"/>
      </w:pPr>
    </w:p>
    <w:p w14:paraId="44C37ADB" w14:textId="1A4CF77B" w:rsidR="006C1902" w:rsidRPr="00A161AC" w:rsidRDefault="00A70837" w:rsidP="000C0019">
      <w:pPr>
        <w:pStyle w:val="Numberedlist"/>
        <w:spacing w:after="0"/>
        <w:ind w:left="714" w:hanging="357"/>
      </w:pPr>
      <w:r w:rsidRPr="00A161AC">
        <w:t>In line with our Operating Framework, we aim to discharge our responsibility for overseeing providers through</w:t>
      </w:r>
      <w:r w:rsidRPr="00A161AC">
        <w:rPr>
          <w:rStyle w:val="FootnoteReference"/>
        </w:rPr>
        <w:footnoteReference w:id="4"/>
      </w:r>
      <w:r w:rsidRPr="00A161AC">
        <w:t xml:space="preserve"> the relevant ICB</w:t>
      </w:r>
      <w:r w:rsidR="004D02D8" w:rsidRPr="00A161AC">
        <w:t xml:space="preserve">, asking the ICB to oversee the </w:t>
      </w:r>
      <w:r w:rsidR="004D02D8" w:rsidRPr="00A161AC">
        <w:lastRenderedPageBreak/>
        <w:t>providers in the first instance</w:t>
      </w:r>
      <w:r w:rsidRPr="00A161AC">
        <w:t>. In some circumstances, however, we may</w:t>
      </w:r>
      <w:r w:rsidR="006C1902" w:rsidRPr="00A161AC">
        <w:t xml:space="preserve"> </w:t>
      </w:r>
      <w:r w:rsidRPr="00A161AC">
        <w:t xml:space="preserve">need to take a more direct role and oversee providers with the ICB as partners, such as when a provider requires intensive support or intervention or when an ICB has a capability rating of ‘Progressing’ or ‘Insufficient Progress’. (See section </w:t>
      </w:r>
      <w:r w:rsidR="00F339BE" w:rsidRPr="00A161AC">
        <w:t>5</w:t>
      </w:r>
      <w:r w:rsidR="00AF341A" w:rsidRPr="00A161AC">
        <w:t>.2</w:t>
      </w:r>
      <w:r w:rsidRPr="00A161AC">
        <w:t xml:space="preserve"> for ICB capability)</w:t>
      </w:r>
      <w:r w:rsidR="000D262A" w:rsidRPr="00A161AC">
        <w:t xml:space="preserve">. </w:t>
      </w:r>
      <w:r w:rsidR="006C1902" w:rsidRPr="00A161AC">
        <w:br/>
      </w:r>
    </w:p>
    <w:p w14:paraId="3100FE19" w14:textId="2753DF6E" w:rsidR="0000217B" w:rsidRPr="00A161AC" w:rsidRDefault="00FB5F3C" w:rsidP="000C0019">
      <w:pPr>
        <w:pStyle w:val="Numberedlist"/>
        <w:spacing w:after="0"/>
        <w:ind w:left="714" w:hanging="357"/>
      </w:pPr>
      <w:r w:rsidRPr="00A161AC">
        <w:t xml:space="preserve">Wherever there are areas of challenge or improvement opportunities or services not being delivered to standards we all aspire to, we will work with the </w:t>
      </w:r>
      <w:r w:rsidR="00DE6619" w:rsidRPr="00A161AC">
        <w:t>ICB</w:t>
      </w:r>
      <w:r w:rsidRPr="00A161AC">
        <w:t xml:space="preserve"> and other areas of the system as needed to provide support and otherwise intervene as needed to ensure systems able to deliver high quality care to the desired standard. This will build on our successful approach</w:t>
      </w:r>
      <w:r w:rsidR="00F73FBD" w:rsidRPr="00A161AC">
        <w:t xml:space="preserve"> </w:t>
      </w:r>
      <w:r w:rsidR="00E435DA" w:rsidRPr="00A161AC">
        <w:t>to elective, cancer and urgent care recovery</w:t>
      </w:r>
      <w:r w:rsidR="00CA7EE5" w:rsidRPr="00A161AC">
        <w:t xml:space="preserve"> to ensure intervention is </w:t>
      </w:r>
      <w:r w:rsidR="00AD5742" w:rsidRPr="00A161AC">
        <w:t xml:space="preserve">targeted and proportionate </w:t>
      </w:r>
      <w:r w:rsidR="000549F6" w:rsidRPr="00A161AC">
        <w:t>and drives rapid improvement.</w:t>
      </w:r>
    </w:p>
    <w:p w14:paraId="428833D9" w14:textId="555F5583" w:rsidR="009E4A52" w:rsidRPr="00A161AC" w:rsidRDefault="009E4A52" w:rsidP="009C1AC6">
      <w:pPr>
        <w:pStyle w:val="Numberedlist"/>
        <w:numPr>
          <w:ilvl w:val="0"/>
          <w:numId w:val="0"/>
        </w:numPr>
        <w:ind w:left="720" w:hanging="360"/>
      </w:pPr>
    </w:p>
    <w:p w14:paraId="30D3C08D" w14:textId="21667649" w:rsidR="00A70837" w:rsidRPr="00A161AC" w:rsidRDefault="001C0DD8" w:rsidP="000C0019">
      <w:pPr>
        <w:pStyle w:val="Numberedlist"/>
        <w:numPr>
          <w:ilvl w:val="0"/>
          <w:numId w:val="4"/>
        </w:numPr>
        <w:spacing w:after="0"/>
        <w:ind w:left="714" w:hanging="357"/>
      </w:pPr>
      <w:r w:rsidRPr="00A161AC">
        <w:t>T</w:t>
      </w:r>
      <w:r w:rsidR="00A70837" w:rsidRPr="00A161AC">
        <w:t xml:space="preserve">he </w:t>
      </w:r>
      <w:r w:rsidR="003D6D58" w:rsidRPr="00A161AC">
        <w:t xml:space="preserve">oversight </w:t>
      </w:r>
      <w:r w:rsidR="00A70837" w:rsidRPr="00A161AC">
        <w:t>responsibilities of ICBs include, but are not limited to:</w:t>
      </w:r>
    </w:p>
    <w:p w14:paraId="468EBF7B" w14:textId="77777777" w:rsidR="00A70837" w:rsidRPr="00A161AC" w:rsidRDefault="00A70837" w:rsidP="000C0019">
      <w:pPr>
        <w:pStyle w:val="BodyText2"/>
        <w:numPr>
          <w:ilvl w:val="4"/>
          <w:numId w:val="4"/>
        </w:numPr>
        <w:spacing w:after="0" w:line="360" w:lineRule="atLeast"/>
        <w:ind w:left="1775" w:hanging="357"/>
        <w:textboxTightWrap w:val="none"/>
        <w:rPr>
          <w:color w:val="auto"/>
        </w:rPr>
      </w:pPr>
      <w:r w:rsidRPr="00A161AC">
        <w:rPr>
          <w:color w:val="auto"/>
        </w:rPr>
        <w:t>Overseeing the commissioning and management of contracts, delegation and partnership agreements with providers;</w:t>
      </w:r>
    </w:p>
    <w:p w14:paraId="6D54BEDA" w14:textId="77777777" w:rsidR="00A70837" w:rsidRPr="00A161AC" w:rsidRDefault="00A70837" w:rsidP="000C0019">
      <w:pPr>
        <w:pStyle w:val="BodyText2"/>
        <w:numPr>
          <w:ilvl w:val="4"/>
          <w:numId w:val="4"/>
        </w:numPr>
        <w:spacing w:after="0" w:line="360" w:lineRule="atLeast"/>
        <w:ind w:left="1775" w:hanging="357"/>
        <w:textboxTightWrap w:val="none"/>
        <w:rPr>
          <w:color w:val="auto"/>
        </w:rPr>
      </w:pPr>
      <w:r w:rsidRPr="00A161AC">
        <w:rPr>
          <w:color w:val="auto"/>
        </w:rPr>
        <w:t xml:space="preserve">Leading the day-to-day oversight of providers across their NHS system, including but not limited to provider collaboratives, providers that function across multiple ICSs, independent providers, and primary care providers to ensure effective arrangements are in place to deliver on plans, performance, outcomes, and transformation; </w:t>
      </w:r>
    </w:p>
    <w:p w14:paraId="672AA3FC" w14:textId="77777777" w:rsidR="00A70837" w:rsidRPr="00A161AC" w:rsidRDefault="00A70837" w:rsidP="000C0019">
      <w:pPr>
        <w:pStyle w:val="BodyText2"/>
        <w:numPr>
          <w:ilvl w:val="4"/>
          <w:numId w:val="4"/>
        </w:numPr>
        <w:spacing w:after="0" w:line="360" w:lineRule="atLeast"/>
        <w:ind w:left="1775" w:hanging="357"/>
        <w:textboxTightWrap w:val="none"/>
        <w:rPr>
          <w:color w:val="auto"/>
        </w:rPr>
      </w:pPr>
      <w:r w:rsidRPr="00A161AC">
        <w:rPr>
          <w:color w:val="auto"/>
        </w:rPr>
        <w:t xml:space="preserve">Advising us on the support or intervention needs of their providers within their NHS system by the principles of oversight detailed in this framework, and supporting the resolution of these issues per agreed recovery plans; </w:t>
      </w:r>
    </w:p>
    <w:p w14:paraId="69E1DEE0" w14:textId="77777777" w:rsidR="00A70837" w:rsidRPr="00A161AC" w:rsidRDefault="00A70837" w:rsidP="000C0019">
      <w:pPr>
        <w:pStyle w:val="BodyText2"/>
        <w:numPr>
          <w:ilvl w:val="4"/>
          <w:numId w:val="4"/>
        </w:numPr>
        <w:spacing w:after="0" w:line="360" w:lineRule="atLeast"/>
        <w:ind w:left="1775" w:hanging="357"/>
        <w:textboxTightWrap w:val="none"/>
        <w:rPr>
          <w:color w:val="auto"/>
        </w:rPr>
      </w:pPr>
      <w:r w:rsidRPr="00A161AC">
        <w:rPr>
          <w:color w:val="auto"/>
        </w:rPr>
        <w:t>Managing NHS system-wide risks and delivery against performance, quality, and financial plans, and acting as liaisons with us for matters relating to providers in their NHS system (except for those services directly commissioned by us), including timely and transparent escalation of issues;</w:t>
      </w:r>
    </w:p>
    <w:p w14:paraId="19301989" w14:textId="77777777" w:rsidR="00A70837" w:rsidRPr="00A161AC" w:rsidRDefault="00A70837" w:rsidP="000C0019">
      <w:pPr>
        <w:pStyle w:val="BodyText2"/>
        <w:numPr>
          <w:ilvl w:val="4"/>
          <w:numId w:val="4"/>
        </w:numPr>
        <w:spacing w:after="0" w:line="360" w:lineRule="atLeast"/>
        <w:ind w:left="1775" w:hanging="357"/>
        <w:textboxTightWrap w:val="none"/>
        <w:rPr>
          <w:color w:val="auto"/>
        </w:rPr>
      </w:pPr>
      <w:r w:rsidRPr="00A161AC">
        <w:rPr>
          <w:color w:val="auto"/>
        </w:rPr>
        <w:t>Working in partnership with providers, alongside other partners, to find local resolutions to risks, concerns and challenges, and co-ordinate and tailor necessary support or intervention; and</w:t>
      </w:r>
    </w:p>
    <w:p w14:paraId="65504E4C" w14:textId="77777777" w:rsidR="00A70837" w:rsidRPr="00A161AC" w:rsidRDefault="00A70837" w:rsidP="000C0019">
      <w:pPr>
        <w:pStyle w:val="Numberedlist"/>
        <w:numPr>
          <w:ilvl w:val="4"/>
          <w:numId w:val="4"/>
        </w:numPr>
        <w:spacing w:after="0"/>
        <w:ind w:left="1775" w:hanging="357"/>
      </w:pPr>
      <w:r w:rsidRPr="00A161AC">
        <w:rPr>
          <w:color w:val="auto"/>
        </w:rPr>
        <w:t>Providing assurance and input into regulator assessments of providers and NHS systems, including those led by CQC.</w:t>
      </w:r>
    </w:p>
    <w:p w14:paraId="362EF597" w14:textId="77777777" w:rsidR="007D7A9F" w:rsidRPr="00A161AC" w:rsidRDefault="007D7A9F" w:rsidP="000C0019">
      <w:pPr>
        <w:pStyle w:val="Numberedlist"/>
        <w:numPr>
          <w:ilvl w:val="0"/>
          <w:numId w:val="0"/>
        </w:numPr>
        <w:spacing w:after="0"/>
      </w:pPr>
    </w:p>
    <w:p w14:paraId="13FC502F" w14:textId="25F9E246" w:rsidR="00A70837" w:rsidRPr="00A161AC" w:rsidRDefault="00A70837" w:rsidP="000C0019">
      <w:pPr>
        <w:pStyle w:val="Numberedlist"/>
        <w:numPr>
          <w:ilvl w:val="0"/>
          <w:numId w:val="4"/>
        </w:numPr>
        <w:spacing w:after="0"/>
        <w:ind w:left="714" w:hanging="357"/>
      </w:pPr>
      <w:r w:rsidRPr="00A161AC">
        <w:t xml:space="preserve">We determine our level of confidence in an ICB’s capability through </w:t>
      </w:r>
      <w:r w:rsidR="6E53EE21" w:rsidRPr="00A161AC">
        <w:t>a</w:t>
      </w:r>
      <w:r w:rsidR="31C480A1" w:rsidRPr="00A161AC">
        <w:t xml:space="preserve"> </w:t>
      </w:r>
      <w:r w:rsidR="4C4FB043" w:rsidRPr="00A161AC">
        <w:t>review process</w:t>
      </w:r>
      <w:r w:rsidR="00E70D80" w:rsidRPr="00A161AC">
        <w:t xml:space="preserve"> with an aspiration </w:t>
      </w:r>
      <w:r w:rsidR="007D45D6" w:rsidRPr="00A161AC">
        <w:t xml:space="preserve">that </w:t>
      </w:r>
      <w:r w:rsidR="002F6637" w:rsidRPr="00A161AC">
        <w:t>all</w:t>
      </w:r>
      <w:r w:rsidR="007D45D6" w:rsidRPr="00A161AC">
        <w:t xml:space="preserve"> ICBs will </w:t>
      </w:r>
      <w:r w:rsidR="000A3E67" w:rsidRPr="00A161AC">
        <w:t>reach a rating of “Excelling” or “Achieving”</w:t>
      </w:r>
      <w:r w:rsidRPr="00A161AC">
        <w:t xml:space="preserve">. </w:t>
      </w:r>
      <w:r w:rsidR="000A3E67" w:rsidRPr="00A161AC">
        <w:t xml:space="preserve">For those </w:t>
      </w:r>
      <w:r w:rsidRPr="00A161AC">
        <w:t xml:space="preserve">ICBs rated ‘Excelling’ or ‘Achieving’ </w:t>
      </w:r>
      <w:r w:rsidR="000A3E67" w:rsidRPr="00A161AC">
        <w:t xml:space="preserve">they will </w:t>
      </w:r>
      <w:r w:rsidRPr="00A161AC">
        <w:t xml:space="preserve">generally lead the oversight of providers that have a segment of 1 or 2 </w:t>
      </w:r>
      <w:r w:rsidR="002F19AF" w:rsidRPr="00A161AC">
        <w:t>(see section 4</w:t>
      </w:r>
      <w:r w:rsidR="00AF341A" w:rsidRPr="00A161AC">
        <w:t>.</w:t>
      </w:r>
      <w:r w:rsidR="00405941" w:rsidRPr="00A161AC">
        <w:t>2</w:t>
      </w:r>
      <w:r w:rsidR="002F19AF" w:rsidRPr="00A161AC">
        <w:t xml:space="preserve"> for segmentation) </w:t>
      </w:r>
      <w:r w:rsidRPr="00A161AC">
        <w:t xml:space="preserve">in their NHS systems, and work in partnership with us for the oversight of providers that have a segment of 3 or 4. </w:t>
      </w:r>
      <w:r w:rsidR="1DA35393" w:rsidRPr="00A161AC">
        <w:t xml:space="preserve">Capability will be assessed on an annual basis as well as on an ad hoc basis by exception where we become aware of </w:t>
      </w:r>
      <w:r w:rsidR="21E60CF1" w:rsidRPr="00A161AC">
        <w:t>any issues.</w:t>
      </w:r>
    </w:p>
    <w:p w14:paraId="519CDF8F" w14:textId="77777777" w:rsidR="00A70837" w:rsidRPr="00A161AC" w:rsidRDefault="00A70837" w:rsidP="000C0019">
      <w:pPr>
        <w:pStyle w:val="Numberedlist"/>
        <w:numPr>
          <w:ilvl w:val="0"/>
          <w:numId w:val="0"/>
        </w:numPr>
        <w:spacing w:after="0"/>
        <w:ind w:left="714" w:hanging="357"/>
      </w:pPr>
    </w:p>
    <w:p w14:paraId="0A394B8B" w14:textId="50E0FA25" w:rsidR="00A70837" w:rsidRPr="00A161AC" w:rsidRDefault="0049002A" w:rsidP="000C0019">
      <w:pPr>
        <w:pStyle w:val="Numberedlist"/>
        <w:numPr>
          <w:ilvl w:val="0"/>
          <w:numId w:val="4"/>
        </w:numPr>
        <w:spacing w:after="0"/>
        <w:ind w:left="714" w:hanging="357"/>
      </w:pPr>
      <w:r w:rsidRPr="00A161AC">
        <w:t xml:space="preserve">ICBs are at different stages of maturity and for those </w:t>
      </w:r>
      <w:r w:rsidR="00C74BD2" w:rsidRPr="00A161AC">
        <w:t xml:space="preserve">not yet at the </w:t>
      </w:r>
      <w:r w:rsidR="00756D15" w:rsidRPr="00A161AC">
        <w:t>“Achieving” or “</w:t>
      </w:r>
      <w:r w:rsidR="00DB56EE" w:rsidRPr="00A161AC">
        <w:t>Excelling</w:t>
      </w:r>
      <w:r w:rsidR="00756D15" w:rsidRPr="00A161AC">
        <w:t>”</w:t>
      </w:r>
      <w:r w:rsidR="00C74BD2" w:rsidRPr="00A161AC">
        <w:t xml:space="preserve"> </w:t>
      </w:r>
      <w:r w:rsidR="00314FFF" w:rsidRPr="00A161AC">
        <w:t xml:space="preserve">capability level we </w:t>
      </w:r>
      <w:r w:rsidR="00C72A8B" w:rsidRPr="00A161AC">
        <w:t xml:space="preserve">recognise the need to </w:t>
      </w:r>
      <w:r w:rsidR="00840450" w:rsidRPr="00A161AC">
        <w:t xml:space="preserve">work together more closely. </w:t>
      </w:r>
      <w:r w:rsidR="00A70837" w:rsidRPr="00A161AC">
        <w:t>For ICBs that have a capability rating of ‘Progressing’ or ‘Insufficient Progress’, we</w:t>
      </w:r>
      <w:r w:rsidR="00840450" w:rsidRPr="00A161AC">
        <w:t xml:space="preserve"> will</w:t>
      </w:r>
      <w:r w:rsidR="00A70837" w:rsidRPr="00A161AC">
        <w:t xml:space="preserve"> work </w:t>
      </w:r>
      <w:r w:rsidR="00756D15" w:rsidRPr="00A161AC">
        <w:t>with them</w:t>
      </w:r>
      <w:r w:rsidR="00A70837" w:rsidRPr="00A161AC">
        <w:t xml:space="preserve"> in partnership to jointly oversee providers in that NHS system. </w:t>
      </w:r>
    </w:p>
    <w:p w14:paraId="5313B7C3" w14:textId="77777777" w:rsidR="00A70837" w:rsidRPr="00A161AC" w:rsidRDefault="00A70837" w:rsidP="00A70837">
      <w:pPr>
        <w:pStyle w:val="Numberedlist"/>
        <w:numPr>
          <w:ilvl w:val="0"/>
          <w:numId w:val="0"/>
        </w:numPr>
      </w:pPr>
    </w:p>
    <w:p w14:paraId="367D8A62" w14:textId="77777777" w:rsidR="00A70837" w:rsidRPr="00A161AC" w:rsidRDefault="00A70837" w:rsidP="000C0019">
      <w:pPr>
        <w:pStyle w:val="Numberedlist"/>
        <w:numPr>
          <w:ilvl w:val="0"/>
          <w:numId w:val="4"/>
        </w:numPr>
        <w:spacing w:after="0"/>
        <w:ind w:left="714" w:hanging="357"/>
      </w:pPr>
      <w:r w:rsidRPr="00A161AC">
        <w:t>The common principles for both scenarios include:</w:t>
      </w:r>
    </w:p>
    <w:p w14:paraId="0932A394" w14:textId="70BC8555" w:rsidR="00A70837" w:rsidRPr="00A161AC" w:rsidRDefault="00A70837" w:rsidP="000C0019">
      <w:pPr>
        <w:pStyle w:val="Numberedlist"/>
        <w:numPr>
          <w:ilvl w:val="1"/>
          <w:numId w:val="4"/>
        </w:numPr>
        <w:spacing w:after="0"/>
        <w:ind w:left="1775" w:hanging="357"/>
      </w:pPr>
      <w:r w:rsidRPr="00A161AC">
        <w:t>Provider oversight arrangements for each NHS system are set out in the annual assessment letter from the Regional Director to each ICB’s Chair and CEO;</w:t>
      </w:r>
    </w:p>
    <w:p w14:paraId="76BA0D4C" w14:textId="399043F0" w:rsidR="00A70837" w:rsidRPr="00A161AC" w:rsidRDefault="00A70837" w:rsidP="000C0019">
      <w:pPr>
        <w:pStyle w:val="Numberedlist"/>
        <w:numPr>
          <w:ilvl w:val="1"/>
          <w:numId w:val="4"/>
        </w:numPr>
        <w:spacing w:after="0"/>
        <w:ind w:left="1775" w:hanging="357"/>
      </w:pPr>
      <w:r w:rsidRPr="00A161AC">
        <w:t>ICBs recommend support or intervention for a provider to us where required but we will make the final decision on any support or intervention required;</w:t>
      </w:r>
      <w:r w:rsidR="00DB42FF" w:rsidRPr="00A161AC">
        <w:t xml:space="preserve"> and</w:t>
      </w:r>
    </w:p>
    <w:p w14:paraId="09546C31" w14:textId="1131F1DB" w:rsidR="00A70837" w:rsidRPr="00A161AC" w:rsidRDefault="00A70837" w:rsidP="000C0019">
      <w:pPr>
        <w:pStyle w:val="Numberedlist"/>
        <w:numPr>
          <w:ilvl w:val="1"/>
          <w:numId w:val="4"/>
        </w:numPr>
        <w:spacing w:after="0"/>
        <w:ind w:left="1775" w:hanging="357"/>
      </w:pPr>
      <w:r w:rsidRPr="00A161AC">
        <w:t>ICBs play an active role in</w:t>
      </w:r>
      <w:r w:rsidR="5514435E" w:rsidRPr="00A161AC">
        <w:t>:</w:t>
      </w:r>
    </w:p>
    <w:p w14:paraId="52870E8C" w14:textId="339BC74E" w:rsidR="00A70837" w:rsidRPr="00A161AC" w:rsidRDefault="00A70837" w:rsidP="000C0019">
      <w:pPr>
        <w:pStyle w:val="Numberedlist"/>
        <w:numPr>
          <w:ilvl w:val="2"/>
          <w:numId w:val="4"/>
        </w:numPr>
        <w:spacing w:after="0"/>
        <w:ind w:left="2342" w:hanging="357"/>
      </w:pPr>
      <w:r w:rsidRPr="00A161AC">
        <w:t>proposing the improvement criteria providers in receipt of formal support or intervention have to meet to exit intervention</w:t>
      </w:r>
      <w:r w:rsidR="6039B296" w:rsidRPr="00A161AC">
        <w:t>;</w:t>
      </w:r>
      <w:r w:rsidRPr="00A161AC">
        <w:t xml:space="preserve"> and</w:t>
      </w:r>
    </w:p>
    <w:p w14:paraId="5A9D2713" w14:textId="307A27FE" w:rsidR="00A70837" w:rsidRPr="00A161AC" w:rsidRDefault="00A70837" w:rsidP="000C0019">
      <w:pPr>
        <w:pStyle w:val="Numberedlist"/>
        <w:numPr>
          <w:ilvl w:val="2"/>
          <w:numId w:val="4"/>
        </w:numPr>
        <w:spacing w:after="0"/>
        <w:ind w:left="2342" w:hanging="357"/>
      </w:pPr>
      <w:r w:rsidRPr="00A161AC">
        <w:t>support the provider in meeting those criteria</w:t>
      </w:r>
      <w:r w:rsidR="00DB42FF" w:rsidRPr="00A161AC">
        <w:t>.</w:t>
      </w:r>
    </w:p>
    <w:p w14:paraId="59F0F784" w14:textId="77777777" w:rsidR="00A70837" w:rsidRPr="00A161AC" w:rsidRDefault="00A70837" w:rsidP="00A70837">
      <w:pPr>
        <w:pStyle w:val="Numberedlist"/>
        <w:numPr>
          <w:ilvl w:val="0"/>
          <w:numId w:val="0"/>
        </w:numPr>
      </w:pPr>
    </w:p>
    <w:p w14:paraId="0C546736" w14:textId="76CEEF60" w:rsidR="00A70837" w:rsidRPr="00A161AC" w:rsidRDefault="00A70837" w:rsidP="00A1349C">
      <w:pPr>
        <w:pStyle w:val="Numberedlist"/>
        <w:numPr>
          <w:ilvl w:val="0"/>
          <w:numId w:val="4"/>
        </w:numPr>
        <w:spacing w:after="0"/>
        <w:ind w:left="714" w:hanging="357"/>
      </w:pPr>
      <w:r w:rsidRPr="00A161AC">
        <w:t xml:space="preserve">The key features of our oversight of providers with or through an ICB are detailed in Table </w:t>
      </w:r>
      <w:r w:rsidR="009A0D13" w:rsidRPr="00A161AC">
        <w:t>1</w:t>
      </w:r>
      <w:r w:rsidRPr="00A161AC">
        <w:t>.</w:t>
      </w:r>
      <w:r w:rsidR="006C1902" w:rsidRPr="00A161AC">
        <w:t xml:space="preserve"> </w:t>
      </w:r>
    </w:p>
    <w:p w14:paraId="1D083772" w14:textId="47AC7304" w:rsidR="00A70837" w:rsidRPr="00A161AC" w:rsidRDefault="00A70837" w:rsidP="00A70837">
      <w:pPr>
        <w:pStyle w:val="Numberedlist"/>
        <w:numPr>
          <w:ilvl w:val="0"/>
          <w:numId w:val="0"/>
        </w:numPr>
        <w:ind w:left="567"/>
        <w:rPr>
          <w:sz w:val="20"/>
          <w:szCs w:val="20"/>
        </w:rPr>
      </w:pPr>
    </w:p>
    <w:tbl>
      <w:tblPr>
        <w:tblW w:w="10338" w:type="dxa"/>
        <w:tblCellMar>
          <w:left w:w="0" w:type="dxa"/>
          <w:right w:w="0" w:type="dxa"/>
        </w:tblCellMar>
        <w:tblLook w:val="0420" w:firstRow="1" w:lastRow="0" w:firstColumn="0" w:lastColumn="0" w:noHBand="0" w:noVBand="1"/>
      </w:tblPr>
      <w:tblGrid>
        <w:gridCol w:w="5093"/>
        <w:gridCol w:w="5245"/>
      </w:tblGrid>
      <w:tr w:rsidR="00A70837" w:rsidRPr="00A161AC" w14:paraId="42BEADB8" w14:textId="77777777" w:rsidTr="00FC33C8">
        <w:trPr>
          <w:trHeight w:val="445"/>
        </w:trPr>
        <w:tc>
          <w:tcPr>
            <w:tcW w:w="5093" w:type="dxa"/>
            <w:tcBorders>
              <w:top w:val="single" w:sz="8" w:space="0" w:color="000000"/>
              <w:left w:val="single" w:sz="8" w:space="0" w:color="000000"/>
              <w:bottom w:val="single" w:sz="8" w:space="0" w:color="000000"/>
              <w:right w:val="single" w:sz="8" w:space="0" w:color="000000"/>
            </w:tcBorders>
            <w:shd w:val="clear" w:color="auto" w:fill="003087" w:themeFill="accent1"/>
            <w:tcMar>
              <w:top w:w="72" w:type="dxa"/>
              <w:left w:w="144" w:type="dxa"/>
              <w:bottom w:w="72" w:type="dxa"/>
              <w:right w:w="144" w:type="dxa"/>
            </w:tcMar>
            <w:vAlign w:val="center"/>
            <w:hideMark/>
          </w:tcPr>
          <w:p w14:paraId="5F43C610" w14:textId="3C1005EA" w:rsidR="00A70837" w:rsidRPr="00A161AC" w:rsidRDefault="00A70837" w:rsidP="00FC33C8">
            <w:pPr>
              <w:pStyle w:val="Numberedlist"/>
              <w:numPr>
                <w:ilvl w:val="0"/>
                <w:numId w:val="0"/>
              </w:numPr>
              <w:ind w:left="567"/>
              <w:rPr>
                <w:b/>
                <w:bCs/>
                <w:color w:val="FFFFFF" w:themeColor="text1"/>
                <w:sz w:val="22"/>
                <w:szCs w:val="22"/>
              </w:rPr>
            </w:pPr>
            <w:r w:rsidRPr="00A161AC">
              <w:rPr>
                <w:b/>
                <w:bCs/>
                <w:color w:val="FFFFFF" w:themeColor="text1"/>
                <w:sz w:val="22"/>
                <w:szCs w:val="22"/>
              </w:rPr>
              <w:t xml:space="preserve">Provider oversight </w:t>
            </w:r>
            <w:r w:rsidR="00733FF7" w:rsidRPr="00A161AC">
              <w:rPr>
                <w:b/>
                <w:bCs/>
                <w:color w:val="FFFFFF" w:themeColor="text1"/>
                <w:sz w:val="22"/>
                <w:szCs w:val="22"/>
              </w:rPr>
              <w:t xml:space="preserve">led </w:t>
            </w:r>
            <w:r w:rsidR="00D7646C" w:rsidRPr="00A161AC">
              <w:rPr>
                <w:b/>
                <w:bCs/>
                <w:color w:val="FFFFFF" w:themeColor="text1"/>
                <w:sz w:val="22"/>
                <w:szCs w:val="22"/>
              </w:rPr>
              <w:t>though</w:t>
            </w:r>
            <w:r w:rsidR="00733FF7" w:rsidRPr="00A161AC">
              <w:rPr>
                <w:b/>
                <w:bCs/>
                <w:color w:val="FFFFFF" w:themeColor="text1"/>
                <w:sz w:val="22"/>
                <w:szCs w:val="22"/>
              </w:rPr>
              <w:t xml:space="preserve"> </w:t>
            </w:r>
            <w:r w:rsidRPr="00A161AC">
              <w:rPr>
                <w:b/>
                <w:bCs/>
                <w:color w:val="FFFFFF" w:themeColor="text1"/>
                <w:sz w:val="22"/>
                <w:szCs w:val="22"/>
              </w:rPr>
              <w:t>an ICB</w:t>
            </w:r>
            <w:r w:rsidR="00F720FC" w:rsidRPr="00A161AC">
              <w:rPr>
                <w:b/>
                <w:bCs/>
                <w:color w:val="FFFFFF" w:themeColor="text1"/>
                <w:sz w:val="22"/>
                <w:szCs w:val="22"/>
              </w:rPr>
              <w:t xml:space="preserve"> </w:t>
            </w:r>
            <w:r w:rsidR="00F56D35" w:rsidRPr="00A161AC">
              <w:rPr>
                <w:b/>
                <w:bCs/>
                <w:color w:val="FFFFFF" w:themeColor="text1"/>
                <w:sz w:val="22"/>
                <w:szCs w:val="22"/>
              </w:rPr>
              <w:t xml:space="preserve">rated as excelling or </w:t>
            </w:r>
            <w:r w:rsidR="00D7646C" w:rsidRPr="00A161AC">
              <w:rPr>
                <w:b/>
                <w:bCs/>
                <w:color w:val="FFFFFF" w:themeColor="text1"/>
                <w:sz w:val="22"/>
                <w:szCs w:val="22"/>
              </w:rPr>
              <w:t>achieving</w:t>
            </w:r>
            <w:r w:rsidRPr="00A161AC">
              <w:rPr>
                <w:b/>
                <w:bCs/>
                <w:color w:val="FFFFFF" w:themeColor="text1"/>
                <w:sz w:val="22"/>
                <w:szCs w:val="22"/>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003087" w:themeFill="accent1"/>
            <w:tcMar>
              <w:top w:w="72" w:type="dxa"/>
              <w:left w:w="144" w:type="dxa"/>
              <w:bottom w:w="72" w:type="dxa"/>
              <w:right w:w="144" w:type="dxa"/>
            </w:tcMar>
            <w:vAlign w:val="center"/>
            <w:hideMark/>
          </w:tcPr>
          <w:p w14:paraId="46122FC0" w14:textId="7C4DCC3F" w:rsidR="00A70837" w:rsidRPr="00A161AC" w:rsidRDefault="00D7646C" w:rsidP="00060B73">
            <w:pPr>
              <w:pStyle w:val="Numberedlist"/>
              <w:numPr>
                <w:ilvl w:val="0"/>
                <w:numId w:val="0"/>
              </w:numPr>
              <w:ind w:left="357"/>
              <w:rPr>
                <w:b/>
                <w:bCs/>
                <w:color w:val="FFFFFF" w:themeColor="text1"/>
                <w:sz w:val="22"/>
                <w:szCs w:val="22"/>
              </w:rPr>
            </w:pPr>
            <w:r w:rsidRPr="00A161AC">
              <w:rPr>
                <w:b/>
                <w:bCs/>
                <w:color w:val="FFFFFF" w:themeColor="text1"/>
                <w:sz w:val="22"/>
                <w:szCs w:val="22"/>
              </w:rPr>
              <w:t>P</w:t>
            </w:r>
            <w:r w:rsidR="00A70837" w:rsidRPr="00A161AC">
              <w:rPr>
                <w:b/>
                <w:bCs/>
                <w:color w:val="FFFFFF" w:themeColor="text1"/>
                <w:sz w:val="22"/>
                <w:szCs w:val="22"/>
              </w:rPr>
              <w:t xml:space="preserve">rovider oversight </w:t>
            </w:r>
            <w:r w:rsidR="00733FF7" w:rsidRPr="00A161AC">
              <w:rPr>
                <w:b/>
                <w:bCs/>
                <w:color w:val="FFFFFF" w:themeColor="text1"/>
                <w:sz w:val="22"/>
                <w:szCs w:val="22"/>
              </w:rPr>
              <w:t xml:space="preserve">led </w:t>
            </w:r>
            <w:r w:rsidR="00A70837" w:rsidRPr="00A161AC" w:rsidDel="00733FF7">
              <w:rPr>
                <w:b/>
                <w:bCs/>
                <w:color w:val="FFFFFF" w:themeColor="text1"/>
                <w:sz w:val="22"/>
                <w:szCs w:val="22"/>
              </w:rPr>
              <w:t>with an ICB</w:t>
            </w:r>
            <w:r w:rsidRPr="00A161AC">
              <w:rPr>
                <w:b/>
                <w:bCs/>
                <w:color w:val="FFFFFF" w:themeColor="text1"/>
                <w:sz w:val="22"/>
                <w:szCs w:val="22"/>
              </w:rPr>
              <w:t xml:space="preserve"> rated as </w:t>
            </w:r>
            <w:r w:rsidR="00136728" w:rsidRPr="00A161AC">
              <w:rPr>
                <w:b/>
                <w:bCs/>
                <w:color w:val="FFFFFF" w:themeColor="text1"/>
                <w:sz w:val="22"/>
                <w:szCs w:val="22"/>
              </w:rPr>
              <w:t>progressing or insufficient progress</w:t>
            </w:r>
          </w:p>
        </w:tc>
      </w:tr>
      <w:tr w:rsidR="00A70837" w:rsidRPr="00A161AC" w14:paraId="1C593481" w14:textId="77777777" w:rsidTr="00FC33C8">
        <w:trPr>
          <w:trHeight w:val="1326"/>
        </w:trPr>
        <w:tc>
          <w:tcPr>
            <w:tcW w:w="5093" w:type="dxa"/>
            <w:tcBorders>
              <w:top w:val="single" w:sz="8" w:space="0" w:color="000000"/>
              <w:left w:val="single" w:sz="8" w:space="0" w:color="000000"/>
              <w:bottom w:val="single" w:sz="8" w:space="0" w:color="000000"/>
              <w:right w:val="single" w:sz="8" w:space="0" w:color="000000"/>
            </w:tcBorders>
            <w:shd w:val="clear" w:color="auto" w:fill="FFFFFF" w:themeFill="text1"/>
            <w:tcMar>
              <w:top w:w="72" w:type="dxa"/>
              <w:left w:w="144" w:type="dxa"/>
              <w:bottom w:w="72" w:type="dxa"/>
              <w:right w:w="144" w:type="dxa"/>
            </w:tcMar>
            <w:hideMark/>
          </w:tcPr>
          <w:p w14:paraId="281B44EF" w14:textId="15BD3ABD" w:rsidR="00A70837" w:rsidRPr="00A161AC" w:rsidRDefault="006B3FB9" w:rsidP="00AB4B85">
            <w:pPr>
              <w:pStyle w:val="Numberedlist"/>
              <w:numPr>
                <w:ilvl w:val="0"/>
                <w:numId w:val="16"/>
              </w:numPr>
              <w:rPr>
                <w:sz w:val="22"/>
                <w:szCs w:val="22"/>
              </w:rPr>
            </w:pPr>
            <w:r w:rsidRPr="00A161AC">
              <w:rPr>
                <w:sz w:val="22"/>
                <w:szCs w:val="22"/>
              </w:rPr>
              <w:t>In terms of oversight, w</w:t>
            </w:r>
            <w:r w:rsidR="00A70837" w:rsidRPr="00A161AC">
              <w:rPr>
                <w:sz w:val="22"/>
                <w:szCs w:val="22"/>
              </w:rPr>
              <w:t>e typically do not have contact with the provider without the ICB except for agreed circumstances e.g. direct commissioning relationships, exceptional challenges including significant underperformance in key national priority areas.</w:t>
            </w:r>
          </w:p>
          <w:p w14:paraId="39305D8A" w14:textId="77777777" w:rsidR="00A70837" w:rsidRPr="00A161AC" w:rsidRDefault="00A70837" w:rsidP="00AB4B85">
            <w:pPr>
              <w:pStyle w:val="Numberedlist"/>
              <w:numPr>
                <w:ilvl w:val="0"/>
                <w:numId w:val="16"/>
              </w:numPr>
              <w:rPr>
                <w:sz w:val="22"/>
                <w:szCs w:val="22"/>
              </w:rPr>
            </w:pPr>
            <w:r w:rsidRPr="00A161AC">
              <w:rPr>
                <w:sz w:val="22"/>
                <w:szCs w:val="22"/>
              </w:rPr>
              <w:t xml:space="preserve">The ICB oversees performance, quality, finance, and delivery against system plans through robust governance arrangements and review meetings with providers; </w:t>
            </w:r>
          </w:p>
          <w:p w14:paraId="0F81535F" w14:textId="77777777" w:rsidR="00A70837" w:rsidRPr="00A161AC" w:rsidRDefault="00A70837" w:rsidP="00AB4B85">
            <w:pPr>
              <w:pStyle w:val="Numberedlist"/>
              <w:numPr>
                <w:ilvl w:val="0"/>
                <w:numId w:val="16"/>
              </w:numPr>
              <w:rPr>
                <w:sz w:val="22"/>
                <w:szCs w:val="22"/>
              </w:rPr>
            </w:pPr>
            <w:r w:rsidRPr="00A161AC">
              <w:rPr>
                <w:sz w:val="22"/>
                <w:szCs w:val="22"/>
              </w:rPr>
              <w:t xml:space="preserve">ICB and provider have open and mature discussions on issues and challenges, </w:t>
            </w:r>
            <w:r w:rsidRPr="00A161AC">
              <w:rPr>
                <w:sz w:val="22"/>
                <w:szCs w:val="22"/>
              </w:rPr>
              <w:lastRenderedPageBreak/>
              <w:t>including any early warning signs, and agree way forward;</w:t>
            </w:r>
          </w:p>
          <w:p w14:paraId="6F682DFD" w14:textId="77777777" w:rsidR="00A70837" w:rsidRPr="00A161AC" w:rsidRDefault="00A70837" w:rsidP="00AB4B85">
            <w:pPr>
              <w:pStyle w:val="Numberedlist"/>
              <w:numPr>
                <w:ilvl w:val="0"/>
                <w:numId w:val="16"/>
              </w:numPr>
              <w:rPr>
                <w:sz w:val="22"/>
                <w:szCs w:val="22"/>
              </w:rPr>
            </w:pPr>
            <w:r w:rsidRPr="00A161AC">
              <w:rPr>
                <w:sz w:val="22"/>
                <w:szCs w:val="22"/>
              </w:rPr>
              <w:t>ICB acts as a liaison for the provider with NHS England and escalates issues timely and transparently;</w:t>
            </w:r>
          </w:p>
          <w:p w14:paraId="0AB931E2" w14:textId="77777777" w:rsidR="00A70837" w:rsidRPr="00A161AC" w:rsidRDefault="00A70837" w:rsidP="00AB4B85">
            <w:pPr>
              <w:pStyle w:val="Numberedlist"/>
              <w:numPr>
                <w:ilvl w:val="0"/>
                <w:numId w:val="16"/>
              </w:numPr>
              <w:rPr>
                <w:sz w:val="22"/>
                <w:szCs w:val="22"/>
              </w:rPr>
            </w:pPr>
            <w:r w:rsidRPr="00A161AC">
              <w:rPr>
                <w:sz w:val="22"/>
                <w:szCs w:val="22"/>
              </w:rPr>
              <w:t>ICB proactively manages system and provider risks, seeking support as and when required;</w:t>
            </w:r>
          </w:p>
          <w:p w14:paraId="7DBB5F06" w14:textId="77777777" w:rsidR="00A70837" w:rsidRPr="00A161AC" w:rsidRDefault="00A70837" w:rsidP="00AB4B85">
            <w:pPr>
              <w:pStyle w:val="Numberedlist"/>
              <w:numPr>
                <w:ilvl w:val="0"/>
                <w:numId w:val="16"/>
              </w:numPr>
              <w:rPr>
                <w:sz w:val="22"/>
                <w:szCs w:val="22"/>
              </w:rPr>
            </w:pPr>
            <w:r w:rsidRPr="00A161AC">
              <w:rPr>
                <w:sz w:val="22"/>
                <w:szCs w:val="22"/>
              </w:rPr>
              <w:t xml:space="preserve">ICB finds local resolutions to issues and challenges in a provider through leadership, peer support, facilitating mutual aid, etc.; </w:t>
            </w:r>
          </w:p>
          <w:p w14:paraId="183964AA" w14:textId="77777777" w:rsidR="00A70837" w:rsidRPr="00A161AC" w:rsidRDefault="00A70837" w:rsidP="00AB4B85">
            <w:pPr>
              <w:pStyle w:val="Numberedlist"/>
              <w:numPr>
                <w:ilvl w:val="0"/>
                <w:numId w:val="16"/>
              </w:numPr>
              <w:rPr>
                <w:sz w:val="22"/>
                <w:szCs w:val="22"/>
              </w:rPr>
            </w:pPr>
            <w:r w:rsidRPr="00A161AC">
              <w:rPr>
                <w:sz w:val="22"/>
                <w:szCs w:val="22"/>
              </w:rPr>
              <w:t>ICB reports to NHS England as necessary on provider-level performance, quality, finance, and progress towards agreed targets.</w:t>
            </w:r>
          </w:p>
          <w:p w14:paraId="6CD78E6B" w14:textId="37B5B927" w:rsidR="00A70837" w:rsidRPr="00A161AC" w:rsidRDefault="00A70837" w:rsidP="00AB4B85">
            <w:pPr>
              <w:pStyle w:val="Numberedlist"/>
              <w:numPr>
                <w:ilvl w:val="0"/>
                <w:numId w:val="16"/>
              </w:numPr>
              <w:rPr>
                <w:sz w:val="22"/>
                <w:szCs w:val="22"/>
              </w:rPr>
            </w:pPr>
            <w:r w:rsidRPr="00A161AC">
              <w:rPr>
                <w:sz w:val="22"/>
                <w:szCs w:val="22"/>
              </w:rPr>
              <w:t>NHS England makes final decisions on segmentation and enforcement action, where necessary.</w:t>
            </w:r>
          </w:p>
          <w:p w14:paraId="247F95B6" w14:textId="462BEE16" w:rsidR="00A70837" w:rsidRPr="00A161AC" w:rsidRDefault="00940D33" w:rsidP="00AB4B85">
            <w:pPr>
              <w:pStyle w:val="Numberedlist"/>
              <w:numPr>
                <w:ilvl w:val="0"/>
                <w:numId w:val="16"/>
              </w:numPr>
              <w:rPr>
                <w:sz w:val="22"/>
                <w:szCs w:val="22"/>
              </w:rPr>
            </w:pPr>
            <w:r w:rsidRPr="00A161AC">
              <w:rPr>
                <w:sz w:val="22"/>
                <w:szCs w:val="22"/>
              </w:rPr>
              <w:t xml:space="preserve"> </w:t>
            </w:r>
            <w:r w:rsidR="00A70837" w:rsidRPr="00A161AC">
              <w:rPr>
                <w:sz w:val="22"/>
                <w:szCs w:val="22"/>
              </w:rPr>
              <w:t>NHS England may work directly with some providers to understand best practices and improvement opportunities.</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text1"/>
            <w:tcMar>
              <w:top w:w="72" w:type="dxa"/>
              <w:left w:w="144" w:type="dxa"/>
              <w:bottom w:w="72" w:type="dxa"/>
              <w:right w:w="144" w:type="dxa"/>
            </w:tcMar>
            <w:hideMark/>
          </w:tcPr>
          <w:p w14:paraId="4D9F1DE4" w14:textId="77777777" w:rsidR="00A70837" w:rsidRPr="00A161AC" w:rsidRDefault="00A70837" w:rsidP="00AB4B85">
            <w:pPr>
              <w:pStyle w:val="Numberedlist"/>
              <w:numPr>
                <w:ilvl w:val="0"/>
                <w:numId w:val="16"/>
              </w:numPr>
              <w:rPr>
                <w:sz w:val="22"/>
                <w:szCs w:val="22"/>
              </w:rPr>
            </w:pPr>
            <w:r w:rsidRPr="00A161AC">
              <w:rPr>
                <w:sz w:val="22"/>
                <w:szCs w:val="22"/>
              </w:rPr>
              <w:lastRenderedPageBreak/>
              <w:t xml:space="preserve">NHS England oversees the provider with the ICB (potentially through a jointly-chaired forum) with shared regular review meetings to discuss quality, performance, finance, and progress against improvement plans; </w:t>
            </w:r>
          </w:p>
          <w:p w14:paraId="6C4A8533" w14:textId="77777777" w:rsidR="00A70837" w:rsidRPr="00A161AC" w:rsidRDefault="00A70837" w:rsidP="00AB4B85">
            <w:pPr>
              <w:pStyle w:val="Numberedlist"/>
              <w:numPr>
                <w:ilvl w:val="0"/>
                <w:numId w:val="16"/>
              </w:numPr>
              <w:rPr>
                <w:sz w:val="22"/>
                <w:szCs w:val="22"/>
              </w:rPr>
            </w:pPr>
            <w:r w:rsidRPr="00A161AC">
              <w:rPr>
                <w:sz w:val="22"/>
                <w:szCs w:val="22"/>
              </w:rPr>
              <w:t>NHS England provides direct oversight and support to providers with the awareness of the ICB;</w:t>
            </w:r>
          </w:p>
          <w:p w14:paraId="01E4D969" w14:textId="77777777" w:rsidR="00A70837" w:rsidRPr="00A161AC" w:rsidRDefault="00A70837" w:rsidP="00AB4B85">
            <w:pPr>
              <w:pStyle w:val="Numberedlist"/>
              <w:numPr>
                <w:ilvl w:val="0"/>
                <w:numId w:val="16"/>
              </w:numPr>
              <w:rPr>
                <w:sz w:val="22"/>
                <w:szCs w:val="22"/>
              </w:rPr>
            </w:pPr>
            <w:r w:rsidRPr="00A161AC">
              <w:rPr>
                <w:sz w:val="22"/>
                <w:szCs w:val="22"/>
              </w:rPr>
              <w:t>NHS England actively supports the ICB in managing risks related to the provider’s issues, and finding resolutions to issues and challenges;</w:t>
            </w:r>
          </w:p>
          <w:p w14:paraId="43754991" w14:textId="77777777" w:rsidR="00A70837" w:rsidRPr="00A161AC" w:rsidRDefault="00A70837" w:rsidP="00AB4B85">
            <w:pPr>
              <w:pStyle w:val="Numberedlist"/>
              <w:numPr>
                <w:ilvl w:val="0"/>
                <w:numId w:val="16"/>
              </w:numPr>
              <w:rPr>
                <w:sz w:val="22"/>
                <w:szCs w:val="22"/>
              </w:rPr>
            </w:pPr>
            <w:r w:rsidRPr="00A161AC">
              <w:rPr>
                <w:sz w:val="22"/>
                <w:szCs w:val="22"/>
              </w:rPr>
              <w:t xml:space="preserve">NHS England makes the decision on the structure of support or intervention for the </w:t>
            </w:r>
            <w:r w:rsidRPr="00A161AC">
              <w:rPr>
                <w:sz w:val="22"/>
                <w:szCs w:val="22"/>
              </w:rPr>
              <w:lastRenderedPageBreak/>
              <w:t>provider (having regard for the ICB’s advice) including whether to seek entry into the Recovery Support Programme and/or to take enforcement action;</w:t>
            </w:r>
          </w:p>
          <w:p w14:paraId="059410E7" w14:textId="77777777" w:rsidR="00A70837" w:rsidRPr="00A161AC" w:rsidRDefault="00A70837" w:rsidP="00AB4B85">
            <w:pPr>
              <w:pStyle w:val="Numberedlist"/>
              <w:numPr>
                <w:ilvl w:val="0"/>
                <w:numId w:val="16"/>
              </w:numPr>
              <w:rPr>
                <w:sz w:val="22"/>
                <w:szCs w:val="22"/>
              </w:rPr>
            </w:pPr>
            <w:r w:rsidRPr="00A161AC">
              <w:rPr>
                <w:sz w:val="22"/>
                <w:szCs w:val="22"/>
              </w:rPr>
              <w:t>NHS England works with the ICB to agree on an improvement plan for challenged providers, sets the ‘improvement criteria’ and planned timelines for any support or interventions, and takes an active role alongside the ICB to monitor progress and support providers in meeting those criteria.</w:t>
            </w:r>
          </w:p>
        </w:tc>
      </w:tr>
    </w:tbl>
    <w:p w14:paraId="253FF063" w14:textId="3DC54263" w:rsidR="00A70837" w:rsidRPr="00A161AC" w:rsidRDefault="00A1349C" w:rsidP="00A70837">
      <w:pPr>
        <w:pStyle w:val="Numberedlist"/>
        <w:numPr>
          <w:ilvl w:val="0"/>
          <w:numId w:val="0"/>
        </w:numPr>
      </w:pPr>
      <w:r w:rsidRPr="00A161AC">
        <w:rPr>
          <w:sz w:val="20"/>
          <w:szCs w:val="20"/>
        </w:rPr>
        <w:lastRenderedPageBreak/>
        <w:t>Table 1: Oversight of providers with and through ICBs</w:t>
      </w:r>
    </w:p>
    <w:p w14:paraId="20F5D04C" w14:textId="7222A677" w:rsidR="00A70837" w:rsidRPr="00A161AC" w:rsidRDefault="00A70837" w:rsidP="00A1349C">
      <w:pPr>
        <w:pStyle w:val="Numberedlist"/>
        <w:numPr>
          <w:ilvl w:val="0"/>
          <w:numId w:val="4"/>
        </w:numPr>
        <w:spacing w:before="300" w:after="0"/>
        <w:ind w:left="714" w:hanging="357"/>
      </w:pPr>
      <w:r w:rsidRPr="00A161AC">
        <w:t xml:space="preserve">For </w:t>
      </w:r>
      <w:r w:rsidRPr="00A161AC">
        <w:rPr>
          <w:color w:val="auto"/>
        </w:rPr>
        <w:t xml:space="preserve">providers working across multiple ICBs, the lead commissioner (i.e. the ICB to which the provider is apportioned for financial control purposes per the </w:t>
      </w:r>
      <w:hyperlink r:id="rId33" w:history="1">
        <w:r w:rsidRPr="00A161AC">
          <w:rPr>
            <w:rStyle w:val="Hyperlink"/>
            <w:rFonts w:ascii="Arial" w:hAnsi="Arial"/>
          </w:rPr>
          <w:t>NHS Data Service Directory</w:t>
        </w:r>
      </w:hyperlink>
      <w:r w:rsidRPr="00A161AC">
        <w:rPr>
          <w:rStyle w:val="FootnoteReference"/>
          <w:color w:val="auto"/>
        </w:rPr>
        <w:footnoteReference w:id="5"/>
      </w:r>
      <w:r w:rsidRPr="00A161AC">
        <w:rPr>
          <w:color w:val="auto"/>
        </w:rPr>
        <w:t xml:space="preserve">) </w:t>
      </w:r>
      <w:r w:rsidR="00863350" w:rsidRPr="00A161AC">
        <w:rPr>
          <w:color w:val="auto"/>
        </w:rPr>
        <w:t>is</w:t>
      </w:r>
      <w:r w:rsidRPr="00A161AC">
        <w:rPr>
          <w:color w:val="auto"/>
        </w:rPr>
        <w:t xml:space="preserve"> responsible for the provider’s oversight relationship with NHS England. They will, however, work with other commissioners to avoid duplication or to address specific issues e.g. ambulance service delivery where the provider works across a wide geography.</w:t>
      </w:r>
    </w:p>
    <w:p w14:paraId="1144AE48" w14:textId="77777777" w:rsidR="00A70837" w:rsidRPr="00A161AC" w:rsidRDefault="00A70837" w:rsidP="00422E1A">
      <w:pPr>
        <w:pStyle w:val="ListParagraph"/>
        <w:spacing w:after="0"/>
        <w:ind w:firstLine="357"/>
      </w:pPr>
    </w:p>
    <w:p w14:paraId="12DEBC40" w14:textId="77777777" w:rsidR="00A70837" w:rsidRPr="00A161AC" w:rsidRDefault="00A70837" w:rsidP="00422E1A">
      <w:pPr>
        <w:pStyle w:val="Numberedlist"/>
        <w:numPr>
          <w:ilvl w:val="0"/>
          <w:numId w:val="4"/>
        </w:numPr>
        <w:spacing w:after="0"/>
        <w:ind w:left="714" w:hanging="357"/>
      </w:pPr>
      <w:r w:rsidRPr="00A161AC">
        <w:t xml:space="preserve">For </w:t>
      </w:r>
      <w:r w:rsidRPr="00A161AC">
        <w:rPr>
          <w:color w:val="auto"/>
        </w:rPr>
        <w:t xml:space="preserve">independent providers, ICBs are expected to oversee quality and performance through contractual levers and escalate quality concerns using appropriate regional forums. We continue to oversee certain independent providers and NHS-controlled providers under </w:t>
      </w:r>
      <w:hyperlink r:id="rId34">
        <w:r w:rsidRPr="00A161AC">
          <w:rPr>
            <w:rStyle w:val="Hyperlink"/>
            <w:rFonts w:ascii="Arial" w:hAnsi="Arial"/>
          </w:rPr>
          <w:t>the Independent Provider Risk Assessment Framework (IPRAF)</w:t>
        </w:r>
      </w:hyperlink>
      <w:r w:rsidRPr="00A161AC">
        <w:rPr>
          <w:color w:val="auto"/>
        </w:rPr>
        <w:t xml:space="preserve"> and </w:t>
      </w:r>
      <w:r w:rsidRPr="00A161AC">
        <w:rPr>
          <w:color w:val="auto"/>
        </w:rPr>
        <w:lastRenderedPageBreak/>
        <w:t>NHS Oversight and Assessment Framework respectively, working with relevant ICBs as appropriate.</w:t>
      </w:r>
    </w:p>
    <w:p w14:paraId="05E8B0A8" w14:textId="77777777" w:rsidR="00A70837" w:rsidRPr="00A161AC" w:rsidRDefault="00A70837" w:rsidP="0076445A">
      <w:pPr>
        <w:pStyle w:val="ListParagraph"/>
        <w:spacing w:after="0"/>
        <w:ind w:firstLine="357"/>
      </w:pPr>
    </w:p>
    <w:p w14:paraId="61D5A845" w14:textId="33F00AC5" w:rsidR="009238A3" w:rsidRPr="00A161AC" w:rsidRDefault="00A70837" w:rsidP="004471B2">
      <w:pPr>
        <w:pStyle w:val="Numberedlist"/>
        <w:numPr>
          <w:ilvl w:val="0"/>
          <w:numId w:val="4"/>
        </w:numPr>
        <w:spacing w:after="0"/>
        <w:ind w:left="714" w:hanging="357"/>
      </w:pPr>
      <w:r w:rsidRPr="00A161AC">
        <w:t xml:space="preserve">Regardless of whether oversight of providers is being </w:t>
      </w:r>
      <w:r w:rsidR="00D2641C" w:rsidRPr="00A161AC">
        <w:t xml:space="preserve">carried out </w:t>
      </w:r>
      <w:r w:rsidRPr="00A161AC">
        <w:t xml:space="preserve">with or through the relevant ICB, providers continue to remain accountable to NHS England </w:t>
      </w:r>
      <w:r w:rsidR="000C1801" w:rsidRPr="00A161AC">
        <w:t xml:space="preserve">under the terms of the Act. We may </w:t>
      </w:r>
      <w:r w:rsidR="00855FF6" w:rsidRPr="00A161AC">
        <w:t xml:space="preserve">work directly with </w:t>
      </w:r>
      <w:r w:rsidR="000B2C72" w:rsidRPr="00A161AC">
        <w:t xml:space="preserve">providers regardless of their segment </w:t>
      </w:r>
      <w:r w:rsidR="009238A3" w:rsidRPr="00A161AC">
        <w:t>in certain</w:t>
      </w:r>
      <w:r w:rsidR="00855FF6" w:rsidRPr="00A161AC">
        <w:t xml:space="preserve"> situations including</w:t>
      </w:r>
      <w:r w:rsidR="009238A3" w:rsidRPr="00A161AC">
        <w:t>:</w:t>
      </w:r>
    </w:p>
    <w:p w14:paraId="4ACDC27F" w14:textId="77EC9294" w:rsidR="00A70837" w:rsidRPr="00A161AC" w:rsidRDefault="009238A3" w:rsidP="00422E1A">
      <w:pPr>
        <w:pStyle w:val="Numberedlist"/>
        <w:numPr>
          <w:ilvl w:val="1"/>
          <w:numId w:val="4"/>
        </w:numPr>
        <w:spacing w:after="0"/>
        <w:ind w:left="1775" w:hanging="357"/>
      </w:pPr>
      <w:r w:rsidRPr="00A161AC">
        <w:t xml:space="preserve">Where we </w:t>
      </w:r>
      <w:r w:rsidR="00A70837" w:rsidRPr="00A161AC">
        <w:t xml:space="preserve">directly commission services </w:t>
      </w:r>
      <w:r w:rsidRPr="00A161AC">
        <w:t>of the provider</w:t>
      </w:r>
      <w:r w:rsidR="00A70837" w:rsidRPr="00A161AC">
        <w:t xml:space="preserve"> such as health and justice, armed forces, and highly specialised healthcare services. The standard oversight arrangements apply for services whose commissioning has been delegated from NHS England to ICBs, however, there may be additional assurance requirements.</w:t>
      </w:r>
    </w:p>
    <w:p w14:paraId="45D5208D" w14:textId="053349CD" w:rsidR="000B2C72" w:rsidRPr="00A161AC" w:rsidRDefault="00FE69E2" w:rsidP="00422E1A">
      <w:pPr>
        <w:pStyle w:val="Numberedlist"/>
        <w:numPr>
          <w:ilvl w:val="1"/>
          <w:numId w:val="4"/>
        </w:numPr>
        <w:spacing w:after="0"/>
        <w:ind w:left="1775" w:hanging="357"/>
      </w:pPr>
      <w:r w:rsidRPr="00A161AC">
        <w:t xml:space="preserve">Where we </w:t>
      </w:r>
      <w:r w:rsidR="00F07B41" w:rsidRPr="00A161AC">
        <w:t>want</w:t>
      </w:r>
      <w:r w:rsidR="00A67F2C" w:rsidRPr="00A161AC">
        <w:t xml:space="preserve"> to learn from success</w:t>
      </w:r>
      <w:r w:rsidR="00564D16" w:rsidRPr="00A161AC">
        <w:t xml:space="preserve"> </w:t>
      </w:r>
      <w:r w:rsidR="00F07B41" w:rsidRPr="00A161AC">
        <w:t>by working with local leaders to</w:t>
      </w:r>
      <w:r w:rsidR="00564D16" w:rsidRPr="00A161AC">
        <w:t xml:space="preserve"> shape best practice in conjunction with expert providers</w:t>
      </w:r>
      <w:r w:rsidR="006066F5" w:rsidRPr="00A161AC">
        <w:t>. All leaders across the NHS should expect to work in an agile way</w:t>
      </w:r>
      <w:r w:rsidR="00822426" w:rsidRPr="00A161AC">
        <w:t xml:space="preserve"> to ensure a collective approach to service improvement.</w:t>
      </w:r>
    </w:p>
    <w:p w14:paraId="5F646B35" w14:textId="361015CB" w:rsidR="00FF4D60" w:rsidRPr="00A161AC" w:rsidRDefault="003C0BDB" w:rsidP="002502D0">
      <w:pPr>
        <w:pStyle w:val="h2numbered"/>
      </w:pPr>
      <w:bookmarkStart w:id="10" w:name="_Toc163574922"/>
      <w:r w:rsidRPr="00A161AC">
        <w:t>Oversight cycle</w:t>
      </w:r>
      <w:bookmarkEnd w:id="10"/>
    </w:p>
    <w:p w14:paraId="6470FF5A" w14:textId="77777777" w:rsidR="00FF4D60" w:rsidRPr="00A161AC" w:rsidRDefault="00FF4D60" w:rsidP="002502D0">
      <w:pPr>
        <w:pStyle w:val="Numberedlist"/>
        <w:numPr>
          <w:ilvl w:val="0"/>
          <w:numId w:val="4"/>
        </w:numPr>
        <w:spacing w:after="0"/>
        <w:ind w:left="714" w:hanging="357"/>
      </w:pPr>
      <w:r w:rsidRPr="00A161AC">
        <w:t>Our oversight model is built around:</w:t>
      </w:r>
    </w:p>
    <w:p w14:paraId="5E01072B" w14:textId="77777777" w:rsidR="00FF4D60" w:rsidRPr="00A161AC" w:rsidRDefault="00FF4D60" w:rsidP="00422E1A">
      <w:pPr>
        <w:pStyle w:val="Numberedlist"/>
        <w:numPr>
          <w:ilvl w:val="4"/>
          <w:numId w:val="2"/>
        </w:numPr>
        <w:spacing w:after="0"/>
        <w:ind w:left="1775" w:hanging="357"/>
      </w:pPr>
      <w:r w:rsidRPr="00A161AC">
        <w:t>Four national themes that reflect the contribution of ICBs and providers towards the four fundamental purposes of an ICS:</w:t>
      </w:r>
    </w:p>
    <w:p w14:paraId="687CF6E7" w14:textId="77777777" w:rsidR="00FF4D60" w:rsidRPr="00A161AC" w:rsidRDefault="00FF4D60" w:rsidP="00422E1A">
      <w:pPr>
        <w:pStyle w:val="Numberedlist"/>
        <w:numPr>
          <w:ilvl w:val="5"/>
          <w:numId w:val="2"/>
        </w:numPr>
        <w:spacing w:after="0"/>
        <w:ind w:left="2342" w:hanging="357"/>
      </w:pPr>
      <w:r w:rsidRPr="00A161AC">
        <w:t>Improving outcomes in population health and healthcare;</w:t>
      </w:r>
    </w:p>
    <w:p w14:paraId="1D18E68B" w14:textId="77777777" w:rsidR="00FF4D60" w:rsidRPr="00A161AC" w:rsidRDefault="00FF4D60" w:rsidP="00422E1A">
      <w:pPr>
        <w:pStyle w:val="Numberedlist"/>
        <w:numPr>
          <w:ilvl w:val="5"/>
          <w:numId w:val="2"/>
        </w:numPr>
        <w:spacing w:after="0"/>
        <w:ind w:left="2342" w:hanging="357"/>
      </w:pPr>
      <w:r w:rsidRPr="00A161AC">
        <w:t>Tackling inequalities in access and outcomes;</w:t>
      </w:r>
    </w:p>
    <w:p w14:paraId="5F51282E" w14:textId="77777777" w:rsidR="00FF4D60" w:rsidRPr="00A161AC" w:rsidRDefault="00FF4D60" w:rsidP="00422E1A">
      <w:pPr>
        <w:pStyle w:val="Numberedlist"/>
        <w:numPr>
          <w:ilvl w:val="5"/>
          <w:numId w:val="2"/>
        </w:numPr>
        <w:spacing w:after="0"/>
        <w:ind w:left="2342" w:hanging="357"/>
      </w:pPr>
      <w:r w:rsidRPr="00A161AC">
        <w:t>Enhancing productivity and value for money; and</w:t>
      </w:r>
    </w:p>
    <w:p w14:paraId="477F43B4" w14:textId="77777777" w:rsidR="00FF4D60" w:rsidRPr="00A161AC" w:rsidRDefault="00FF4D60" w:rsidP="00422E1A">
      <w:pPr>
        <w:pStyle w:val="Numberedlist"/>
        <w:numPr>
          <w:ilvl w:val="5"/>
          <w:numId w:val="2"/>
        </w:numPr>
        <w:spacing w:after="0"/>
        <w:ind w:left="2342" w:hanging="357"/>
      </w:pPr>
      <w:r w:rsidRPr="00A161AC">
        <w:t>Supporting broader social and economic development,</w:t>
      </w:r>
    </w:p>
    <w:p w14:paraId="785525CE" w14:textId="77777777" w:rsidR="00FF4D60" w:rsidRPr="00A161AC" w:rsidRDefault="00FF4D60" w:rsidP="00422E1A">
      <w:pPr>
        <w:pStyle w:val="Numberedlist"/>
        <w:numPr>
          <w:ilvl w:val="4"/>
          <w:numId w:val="2"/>
        </w:numPr>
        <w:spacing w:after="0"/>
        <w:ind w:left="1775" w:hanging="357"/>
      </w:pPr>
      <w:r w:rsidRPr="00A161AC">
        <w:t>Six core domain areas aligned to key pillars of the NHS Long-Term Plan:</w:t>
      </w:r>
    </w:p>
    <w:p w14:paraId="759852BC" w14:textId="77777777" w:rsidR="00FF4D60" w:rsidRPr="00A161AC" w:rsidRDefault="00FF4D60" w:rsidP="00422E1A">
      <w:pPr>
        <w:pStyle w:val="Numberedlist"/>
        <w:numPr>
          <w:ilvl w:val="5"/>
          <w:numId w:val="2"/>
        </w:numPr>
        <w:spacing w:after="0"/>
        <w:ind w:left="2342" w:hanging="357"/>
      </w:pPr>
      <w:r w:rsidRPr="00A161AC">
        <w:t>Access and performance;</w:t>
      </w:r>
    </w:p>
    <w:p w14:paraId="6FAADCB9" w14:textId="77777777" w:rsidR="00FF4D60" w:rsidRPr="00A161AC" w:rsidRDefault="00FF4D60" w:rsidP="00422E1A">
      <w:pPr>
        <w:pStyle w:val="Numberedlist"/>
        <w:numPr>
          <w:ilvl w:val="5"/>
          <w:numId w:val="2"/>
        </w:numPr>
        <w:spacing w:after="0"/>
        <w:ind w:left="2342" w:hanging="357"/>
      </w:pPr>
      <w:r w:rsidRPr="00A161AC">
        <w:t>Outcomes;</w:t>
      </w:r>
    </w:p>
    <w:p w14:paraId="08E28ABD" w14:textId="77777777" w:rsidR="00FF4D60" w:rsidRPr="00A161AC" w:rsidRDefault="00FF4D60" w:rsidP="00422E1A">
      <w:pPr>
        <w:pStyle w:val="Numberedlist"/>
        <w:numPr>
          <w:ilvl w:val="5"/>
          <w:numId w:val="2"/>
        </w:numPr>
        <w:spacing w:after="0"/>
        <w:ind w:left="2342" w:hanging="357"/>
      </w:pPr>
      <w:r w:rsidRPr="00A161AC">
        <w:t>Improving quality</w:t>
      </w:r>
    </w:p>
    <w:p w14:paraId="75F12CEE" w14:textId="77777777" w:rsidR="00FF4D60" w:rsidRPr="00A161AC" w:rsidRDefault="00FF4D60" w:rsidP="00422E1A">
      <w:pPr>
        <w:pStyle w:val="Numberedlist"/>
        <w:numPr>
          <w:ilvl w:val="5"/>
          <w:numId w:val="2"/>
        </w:numPr>
        <w:spacing w:after="0"/>
        <w:ind w:left="2342" w:hanging="357"/>
      </w:pPr>
      <w:r w:rsidRPr="00A161AC">
        <w:t>Reducing inequalities;</w:t>
      </w:r>
    </w:p>
    <w:p w14:paraId="4055901C" w14:textId="77777777" w:rsidR="00FF4D60" w:rsidRPr="00A161AC" w:rsidRDefault="00FF4D60" w:rsidP="00422E1A">
      <w:pPr>
        <w:pStyle w:val="Numberedlist"/>
        <w:numPr>
          <w:ilvl w:val="5"/>
          <w:numId w:val="2"/>
        </w:numPr>
        <w:spacing w:after="0"/>
        <w:ind w:left="2342" w:hanging="357"/>
      </w:pPr>
      <w:r w:rsidRPr="00A161AC">
        <w:t>Finance and efficiency;</w:t>
      </w:r>
    </w:p>
    <w:p w14:paraId="2D866082" w14:textId="77777777" w:rsidR="00FF4D60" w:rsidRPr="00A161AC" w:rsidRDefault="00FF4D60" w:rsidP="00422E1A">
      <w:pPr>
        <w:pStyle w:val="Numberedlist"/>
        <w:numPr>
          <w:ilvl w:val="5"/>
          <w:numId w:val="2"/>
        </w:numPr>
        <w:spacing w:after="0"/>
        <w:ind w:left="2342" w:hanging="357"/>
      </w:pPr>
      <w:r w:rsidRPr="00A161AC">
        <w:t>Social value</w:t>
      </w:r>
    </w:p>
    <w:p w14:paraId="17312901" w14:textId="74A01FE3" w:rsidR="00FF4D60" w:rsidRPr="00A161AC" w:rsidRDefault="00FF4D60" w:rsidP="00422E1A">
      <w:pPr>
        <w:pStyle w:val="Numberedlist"/>
        <w:numPr>
          <w:ilvl w:val="4"/>
          <w:numId w:val="2"/>
        </w:numPr>
        <w:spacing w:after="0"/>
        <w:ind w:left="1775" w:hanging="357"/>
      </w:pPr>
      <w:r w:rsidRPr="00A161AC">
        <w:t xml:space="preserve">A set of high-level metrics at ICB and provider level aligned with these domains </w:t>
      </w:r>
      <w:r w:rsidR="00D23EE2" w:rsidRPr="00A161AC">
        <w:t xml:space="preserve">which </w:t>
      </w:r>
      <w:r w:rsidR="001B735D" w:rsidRPr="00A161AC">
        <w:t xml:space="preserve">are routinely updated to </w:t>
      </w:r>
      <w:r w:rsidR="00D23EE2" w:rsidRPr="00A161AC">
        <w:t>reflect</w:t>
      </w:r>
      <w:r w:rsidR="001B735D" w:rsidRPr="00A161AC">
        <w:t xml:space="preserve"> national priorities and expectations</w:t>
      </w:r>
      <w:r w:rsidR="00D23EE2" w:rsidRPr="00A161AC">
        <w:t xml:space="preserve"> </w:t>
      </w:r>
      <w:r w:rsidRPr="00A161AC">
        <w:t xml:space="preserve"> (see Figure </w:t>
      </w:r>
      <w:r w:rsidR="00B0060C" w:rsidRPr="00A161AC">
        <w:t>4</w:t>
      </w:r>
      <w:r w:rsidRPr="00A161AC">
        <w:t xml:space="preserve">). </w:t>
      </w:r>
      <w:r w:rsidR="006A5447" w:rsidRPr="00A161AC">
        <w:t>A copy of the proposed metrics for the 2024/25 financial year are included as Annex D to this document.</w:t>
      </w:r>
    </w:p>
    <w:p w14:paraId="55C99469" w14:textId="77777777" w:rsidR="00592DC8" w:rsidRPr="00A161AC" w:rsidRDefault="00FF4D60" w:rsidP="00422E1A">
      <w:pPr>
        <w:pStyle w:val="Numberedlist"/>
        <w:numPr>
          <w:ilvl w:val="4"/>
          <w:numId w:val="2"/>
        </w:numPr>
        <w:spacing w:after="0"/>
        <w:ind w:left="1775" w:hanging="357"/>
      </w:pPr>
      <w:r w:rsidRPr="00A161AC">
        <w:t>Principles of how we work with ICBs and providers to identify support needs, deploy support or intervention and drive improvement to address the most complex and challenging problems.</w:t>
      </w:r>
    </w:p>
    <w:p w14:paraId="4BCBCF43" w14:textId="77777777" w:rsidR="00592DC8" w:rsidRPr="00A161AC" w:rsidRDefault="00592DC8">
      <w:pPr>
        <w:spacing w:after="0" w:line="240" w:lineRule="auto"/>
        <w:textboxTightWrap w:val="none"/>
      </w:pPr>
      <w:r w:rsidRPr="00A161AC">
        <w:br w:type="page"/>
      </w:r>
    </w:p>
    <w:p w14:paraId="010C25C3" w14:textId="77777777" w:rsidR="00592DC8" w:rsidRPr="00A161AC" w:rsidRDefault="00592DC8" w:rsidP="00592DC8">
      <w:pPr>
        <w:pStyle w:val="Numberedlist"/>
        <w:numPr>
          <w:ilvl w:val="0"/>
          <w:numId w:val="0"/>
        </w:numPr>
        <w:ind w:left="720" w:hanging="360"/>
        <w:sectPr w:rsidR="00592DC8" w:rsidRPr="00A161AC" w:rsidSect="006E32A3">
          <w:pgSz w:w="11906" w:h="16838"/>
          <w:pgMar w:top="1021" w:right="1021" w:bottom="1021" w:left="1021" w:header="454" w:footer="556" w:gutter="0"/>
          <w:cols w:space="708"/>
          <w:docGrid w:linePitch="360"/>
        </w:sectPr>
      </w:pPr>
    </w:p>
    <w:p w14:paraId="53FED3AB" w14:textId="3146FE05" w:rsidR="00FF4D60" w:rsidRPr="00A161AC" w:rsidRDefault="001B601C" w:rsidP="00060B73">
      <w:pPr>
        <w:pStyle w:val="Numberedlist"/>
        <w:numPr>
          <w:ilvl w:val="0"/>
          <w:numId w:val="0"/>
        </w:numPr>
        <w:ind w:left="720" w:hanging="360"/>
      </w:pPr>
      <w:r w:rsidRPr="00A161AC">
        <w:rPr>
          <w:noProof/>
        </w:rPr>
        <w:lastRenderedPageBreak/>
        <mc:AlternateContent>
          <mc:Choice Requires="wps">
            <w:drawing>
              <wp:anchor distT="0" distB="0" distL="114300" distR="114300" simplePos="0" relativeHeight="251677696" behindDoc="0" locked="0" layoutInCell="1" allowOverlap="1" wp14:anchorId="7B72F79D" wp14:editId="55425616">
                <wp:simplePos x="0" y="0"/>
                <wp:positionH relativeFrom="column">
                  <wp:posOffset>149524</wp:posOffset>
                </wp:positionH>
                <wp:positionV relativeFrom="paragraph">
                  <wp:posOffset>68841</wp:posOffset>
                </wp:positionV>
                <wp:extent cx="9197265" cy="5567045"/>
                <wp:effectExtent l="0" t="0" r="0" b="0"/>
                <wp:wrapNone/>
                <wp:docPr id="1368344204" name="Text Box 1"/>
                <wp:cNvGraphicFramePr/>
                <a:graphic xmlns:a="http://schemas.openxmlformats.org/drawingml/2006/main">
                  <a:graphicData uri="http://schemas.microsoft.com/office/word/2010/wordprocessingShape">
                    <wps:wsp>
                      <wps:cNvSpPr txBox="1"/>
                      <wps:spPr>
                        <a:xfrm>
                          <a:off x="0" y="0"/>
                          <a:ext cx="9197265" cy="5567045"/>
                        </a:xfrm>
                        <a:prstGeom prst="rect">
                          <a:avLst/>
                        </a:prstGeom>
                        <a:noFill/>
                        <a:ln w="6350">
                          <a:noFill/>
                        </a:ln>
                      </wps:spPr>
                      <wps:txbx>
                        <w:txbxContent>
                          <w:tbl>
                            <w:tblPr>
                              <w:tblW w:w="11160" w:type="dxa"/>
                              <w:tblCellMar>
                                <w:left w:w="0" w:type="dxa"/>
                                <w:right w:w="0" w:type="dxa"/>
                              </w:tblCellMar>
                              <w:tblLook w:val="0420" w:firstRow="1" w:lastRow="0" w:firstColumn="0" w:lastColumn="0" w:noHBand="0" w:noVBand="1"/>
                            </w:tblPr>
                            <w:tblGrid>
                              <w:gridCol w:w="2900"/>
                              <w:gridCol w:w="3940"/>
                              <w:gridCol w:w="4320"/>
                            </w:tblGrid>
                            <w:tr w:rsidR="00DF2FD5" w:rsidRPr="00DF2FD5" w14:paraId="5AFC7AFA" w14:textId="77777777" w:rsidTr="0076274B">
                              <w:trPr>
                                <w:trHeight w:val="251"/>
                              </w:trPr>
                              <w:tc>
                                <w:tcPr>
                                  <w:tcW w:w="2900" w:type="dxa"/>
                                  <w:tcBorders>
                                    <w:top w:val="single" w:sz="8" w:space="0" w:color="231F20"/>
                                    <w:left w:val="single" w:sz="8" w:space="0" w:color="231F20"/>
                                    <w:bottom w:val="single" w:sz="8" w:space="0" w:color="231F20"/>
                                    <w:right w:val="single" w:sz="8" w:space="0" w:color="231F20"/>
                                  </w:tcBorders>
                                  <w:shd w:val="clear" w:color="auto" w:fill="003087"/>
                                  <w:tcMar>
                                    <w:top w:w="15" w:type="dxa"/>
                                    <w:left w:w="108" w:type="dxa"/>
                                    <w:bottom w:w="0" w:type="dxa"/>
                                    <w:right w:w="108" w:type="dxa"/>
                                  </w:tcMar>
                                  <w:vAlign w:val="center"/>
                                  <w:hideMark/>
                                </w:tcPr>
                                <w:p w14:paraId="31577A76" w14:textId="77777777" w:rsidR="00DF2FD5" w:rsidRPr="00DF2FD5" w:rsidRDefault="00DF2FD5" w:rsidP="00DF2FD5">
                                  <w:pPr>
                                    <w:spacing w:after="160" w:line="256" w:lineRule="auto"/>
                                    <w:textboxTightWrap w:val="none"/>
                                    <w:rPr>
                                      <w:rFonts w:cs="Arial"/>
                                      <w:color w:val="auto"/>
                                      <w:sz w:val="36"/>
                                      <w:szCs w:val="36"/>
                                      <w:lang w:eastAsia="en-GB"/>
                                    </w:rPr>
                                  </w:pPr>
                                  <w:r w:rsidRPr="00DF2FD5">
                                    <w:rPr>
                                      <w:rFonts w:eastAsia="Calibri" w:cs="Calibri"/>
                                      <w:b/>
                                      <w:bCs/>
                                      <w:color w:val="FFFFFF"/>
                                      <w:sz w:val="20"/>
                                      <w:szCs w:val="20"/>
                                      <w:lang w:eastAsia="en-GB"/>
                                    </w:rPr>
                                    <w:t>Objectives</w:t>
                                  </w:r>
                                </w:p>
                              </w:tc>
                              <w:tc>
                                <w:tcPr>
                                  <w:tcW w:w="3940" w:type="dxa"/>
                                  <w:tcBorders>
                                    <w:top w:val="single" w:sz="8" w:space="0" w:color="231F20"/>
                                    <w:left w:val="single" w:sz="8" w:space="0" w:color="231F20"/>
                                    <w:bottom w:val="single" w:sz="8" w:space="0" w:color="231F20"/>
                                    <w:right w:val="single" w:sz="8" w:space="0" w:color="231F20"/>
                                  </w:tcBorders>
                                  <w:shd w:val="clear" w:color="auto" w:fill="003087"/>
                                  <w:tcMar>
                                    <w:top w:w="15" w:type="dxa"/>
                                    <w:left w:w="108" w:type="dxa"/>
                                    <w:bottom w:w="0" w:type="dxa"/>
                                    <w:right w:w="108" w:type="dxa"/>
                                  </w:tcMar>
                                  <w:vAlign w:val="center"/>
                                  <w:hideMark/>
                                </w:tcPr>
                                <w:p w14:paraId="0401CC53" w14:textId="77777777" w:rsidR="00DF2FD5" w:rsidRPr="00DF2FD5" w:rsidRDefault="00DF2FD5" w:rsidP="00DF2FD5">
                                  <w:pPr>
                                    <w:spacing w:after="160" w:line="256" w:lineRule="auto"/>
                                    <w:jc w:val="center"/>
                                    <w:textboxTightWrap w:val="none"/>
                                    <w:rPr>
                                      <w:rFonts w:cs="Arial"/>
                                      <w:color w:val="auto"/>
                                      <w:sz w:val="36"/>
                                      <w:szCs w:val="36"/>
                                      <w:lang w:eastAsia="en-GB"/>
                                    </w:rPr>
                                  </w:pPr>
                                  <w:r w:rsidRPr="00DF2FD5">
                                    <w:rPr>
                                      <w:rFonts w:eastAsia="Calibri" w:cs="Calibri"/>
                                      <w:b/>
                                      <w:bCs/>
                                      <w:color w:val="FFFFFF"/>
                                      <w:sz w:val="20"/>
                                      <w:szCs w:val="20"/>
                                      <w:lang w:eastAsia="en-GB"/>
                                    </w:rPr>
                                    <w:t>Domain</w:t>
                                  </w:r>
                                </w:p>
                              </w:tc>
                              <w:tc>
                                <w:tcPr>
                                  <w:tcW w:w="4320" w:type="dxa"/>
                                  <w:tcBorders>
                                    <w:top w:val="single" w:sz="8" w:space="0" w:color="231F20"/>
                                    <w:left w:val="single" w:sz="8" w:space="0" w:color="231F20"/>
                                    <w:bottom w:val="single" w:sz="8" w:space="0" w:color="231F20"/>
                                    <w:right w:val="single" w:sz="8" w:space="0" w:color="231F20"/>
                                  </w:tcBorders>
                                  <w:shd w:val="clear" w:color="auto" w:fill="003087"/>
                                  <w:tcMar>
                                    <w:top w:w="15" w:type="dxa"/>
                                    <w:left w:w="108" w:type="dxa"/>
                                    <w:bottom w:w="0" w:type="dxa"/>
                                    <w:right w:w="108" w:type="dxa"/>
                                  </w:tcMar>
                                  <w:vAlign w:val="center"/>
                                  <w:hideMark/>
                                </w:tcPr>
                                <w:p w14:paraId="54083C41" w14:textId="77777777" w:rsidR="00DF2FD5" w:rsidRPr="00DF2FD5" w:rsidRDefault="00DF2FD5" w:rsidP="00DF2FD5">
                                  <w:pPr>
                                    <w:spacing w:after="160" w:line="256" w:lineRule="auto"/>
                                    <w:jc w:val="center"/>
                                    <w:textboxTightWrap w:val="none"/>
                                    <w:rPr>
                                      <w:rFonts w:cs="Arial"/>
                                      <w:color w:val="auto"/>
                                      <w:sz w:val="36"/>
                                      <w:szCs w:val="36"/>
                                      <w:lang w:eastAsia="en-GB"/>
                                    </w:rPr>
                                  </w:pPr>
                                  <w:r w:rsidRPr="00DF2FD5">
                                    <w:rPr>
                                      <w:rFonts w:cs="Calibri"/>
                                      <w:b/>
                                      <w:bCs/>
                                      <w:color w:val="FFFFFF"/>
                                      <w:sz w:val="20"/>
                                      <w:szCs w:val="20"/>
                                      <w:lang w:eastAsia="en-GB"/>
                                    </w:rPr>
                                    <w:t>Sub-domain </w:t>
                                  </w:r>
                                </w:p>
                              </w:tc>
                            </w:tr>
                            <w:tr w:rsidR="00DF2FD5" w:rsidRPr="00DF2FD5" w14:paraId="1E2D5645" w14:textId="77777777" w:rsidTr="008C718C">
                              <w:trPr>
                                <w:trHeight w:val="243"/>
                              </w:trPr>
                              <w:tc>
                                <w:tcPr>
                                  <w:tcW w:w="2900" w:type="dxa"/>
                                  <w:vMerge w:val="restart"/>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2306C235" w14:textId="190D5C31" w:rsidR="00DF2FD5" w:rsidRPr="00007727" w:rsidRDefault="00DF2FD5" w:rsidP="00DF2FD5">
                                  <w:pPr>
                                    <w:spacing w:after="160" w:line="256" w:lineRule="auto"/>
                                    <w:textboxTightWrap w:val="none"/>
                                    <w:rPr>
                                      <w:rFonts w:cs="Arial"/>
                                      <w:b/>
                                      <w:bCs/>
                                      <w:color w:val="auto"/>
                                      <w:sz w:val="18"/>
                                      <w:szCs w:val="18"/>
                                      <w:lang w:eastAsia="en-GB"/>
                                    </w:rPr>
                                  </w:pPr>
                                  <w:r w:rsidRPr="00007727">
                                    <w:rPr>
                                      <w:rFonts w:eastAsia="Calibri" w:cs="Arial"/>
                                      <w:b/>
                                      <w:bCs/>
                                      <w:color w:val="231F20"/>
                                      <w:sz w:val="18"/>
                                      <w:szCs w:val="18"/>
                                      <w:lang w:eastAsia="en-GB"/>
                                    </w:rPr>
                                    <w:t>Improve population health and health care</w:t>
                                  </w:r>
                                </w:p>
                              </w:tc>
                              <w:tc>
                                <w:tcPr>
                                  <w:tcW w:w="3940" w:type="dxa"/>
                                  <w:vMerge w:val="restart"/>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5555289F"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eastAsia="Calibri" w:cs="Arial"/>
                                      <w:color w:val="231F20"/>
                                      <w:sz w:val="18"/>
                                      <w:szCs w:val="18"/>
                                      <w:lang w:eastAsia="en-GB"/>
                                    </w:rPr>
                                    <w:t>Operational performance</w:t>
                                  </w: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3F042C89"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Urgent and emergency care</w:t>
                                  </w:r>
                                </w:p>
                              </w:tc>
                            </w:tr>
                            <w:tr w:rsidR="00DF2FD5" w:rsidRPr="00DF2FD5" w14:paraId="1BF50CE6" w14:textId="77777777" w:rsidTr="00DF2FD5">
                              <w:trPr>
                                <w:trHeight w:val="366"/>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4C534804"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31FEAF13"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128F3BC7"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Elective care</w:t>
                                  </w:r>
                                </w:p>
                              </w:tc>
                            </w:tr>
                            <w:tr w:rsidR="00DF2FD5" w:rsidRPr="00DF2FD5" w14:paraId="4B3A4B59" w14:textId="77777777" w:rsidTr="00DF2FD5">
                              <w:trPr>
                                <w:trHeight w:val="366"/>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22FC9199"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4E6A5D58"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618BCCBD"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Cancer care</w:t>
                                  </w:r>
                                </w:p>
                              </w:tc>
                            </w:tr>
                            <w:tr w:rsidR="00DF2FD5" w:rsidRPr="00DF2FD5" w14:paraId="49F4F738" w14:textId="77777777" w:rsidTr="00DF2FD5">
                              <w:trPr>
                                <w:trHeight w:val="366"/>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16696343"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6411B138"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15C88DCF"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Diagnostics</w:t>
                                  </w:r>
                                </w:p>
                              </w:tc>
                            </w:tr>
                            <w:tr w:rsidR="00DF2FD5" w:rsidRPr="00DF2FD5" w14:paraId="3D28793E" w14:textId="77777777" w:rsidTr="00DF2FD5">
                              <w:trPr>
                                <w:trHeight w:val="366"/>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55BD01F3"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4F00A29D"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666B4AFB"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Mental health</w:t>
                                  </w:r>
                                </w:p>
                              </w:tc>
                            </w:tr>
                            <w:tr w:rsidR="00DF2FD5" w:rsidRPr="00DF2FD5" w14:paraId="20002744" w14:textId="77777777" w:rsidTr="00DF2FD5">
                              <w:trPr>
                                <w:trHeight w:val="366"/>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54C0153E"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67FBBD91"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3FA45FE8"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LDA</w:t>
                                  </w:r>
                                </w:p>
                              </w:tc>
                            </w:tr>
                            <w:tr w:rsidR="00DF2FD5" w:rsidRPr="00DF2FD5" w14:paraId="08A7CE45" w14:textId="77777777" w:rsidTr="00DF2FD5">
                              <w:trPr>
                                <w:trHeight w:val="366"/>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40EF2954"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32115C40"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5F0CC9D5"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Maternity</w:t>
                                  </w:r>
                                </w:p>
                              </w:tc>
                            </w:tr>
                            <w:tr w:rsidR="00DF2FD5" w:rsidRPr="00DF2FD5" w14:paraId="3C9A5C58" w14:textId="77777777" w:rsidTr="00DF2FD5">
                              <w:trPr>
                                <w:trHeight w:val="366"/>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28A0D109"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3C8000F0"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15B0D9A5"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Primary and community care</w:t>
                                  </w:r>
                                </w:p>
                              </w:tc>
                            </w:tr>
                            <w:tr w:rsidR="00DF2FD5" w:rsidRPr="00DF2FD5" w14:paraId="2B40AAE1" w14:textId="77777777" w:rsidTr="00DF2FD5">
                              <w:trPr>
                                <w:trHeight w:val="366"/>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08D567CD"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7DFBD00D"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406985D9"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Children and young people</w:t>
                                  </w:r>
                                </w:p>
                              </w:tc>
                            </w:tr>
                            <w:tr w:rsidR="00DF2FD5" w:rsidRPr="00DF2FD5" w14:paraId="3A1EF660" w14:textId="77777777" w:rsidTr="007247FB">
                              <w:trPr>
                                <w:trHeight w:val="41"/>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6AE8336E"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6909FDEB"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3F5EFD0F"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eastAsia="Calibri" w:cs="Arial"/>
                                      <w:color w:val="231F20"/>
                                      <w:kern w:val="2"/>
                                      <w:sz w:val="18"/>
                                      <w:szCs w:val="18"/>
                                      <w:lang w:eastAsia="en-GB"/>
                                    </w:rPr>
                                    <w:t>Frailty</w:t>
                                  </w:r>
                                </w:p>
                              </w:tc>
                            </w:tr>
                            <w:tr w:rsidR="00DF2FD5" w:rsidRPr="00DF2FD5" w14:paraId="4DEB2F71" w14:textId="77777777" w:rsidTr="008C718C">
                              <w:trPr>
                                <w:trHeight w:val="189"/>
                              </w:trPr>
                              <w:tc>
                                <w:tcPr>
                                  <w:tcW w:w="2900" w:type="dxa"/>
                                  <w:vMerge w:val="restart"/>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50DE971E" w14:textId="77777777" w:rsidR="00DF2FD5" w:rsidRPr="00007727" w:rsidRDefault="00DF2FD5" w:rsidP="00DF2FD5">
                                  <w:pPr>
                                    <w:spacing w:after="0" w:line="240" w:lineRule="auto"/>
                                    <w:textboxTightWrap w:val="none"/>
                                    <w:rPr>
                                      <w:rFonts w:cs="Arial"/>
                                      <w:b/>
                                      <w:bCs/>
                                      <w:color w:val="auto"/>
                                      <w:sz w:val="18"/>
                                      <w:szCs w:val="18"/>
                                      <w:lang w:eastAsia="en-GB"/>
                                    </w:rPr>
                                  </w:pPr>
                                  <w:r w:rsidRPr="00007727">
                                    <w:rPr>
                                      <w:rFonts w:cs="Arial"/>
                                      <w:b/>
                                      <w:bCs/>
                                      <w:color w:val="231F20"/>
                                      <w:kern w:val="24"/>
                                      <w:sz w:val="18"/>
                                      <w:szCs w:val="18"/>
                                      <w:lang w:eastAsia="en-GB"/>
                                    </w:rPr>
                                    <w:t>Tackle inequalities in outcomes, experience and access</w:t>
                                  </w:r>
                                </w:p>
                              </w:tc>
                              <w:tc>
                                <w:tcPr>
                                  <w:tcW w:w="3940" w:type="dxa"/>
                                  <w:vMerge w:val="restart"/>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0658365D"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eastAsia="Calibri" w:cs="Arial"/>
                                      <w:color w:val="231F20"/>
                                      <w:sz w:val="18"/>
                                      <w:szCs w:val="18"/>
                                      <w:lang w:eastAsia="en-GB"/>
                                    </w:rPr>
                                    <w:t>Quality &amp; inequalities</w:t>
                                  </w: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012A46CF"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Quality of care</w:t>
                                  </w:r>
                                </w:p>
                              </w:tc>
                            </w:tr>
                            <w:tr w:rsidR="00DF2FD5" w:rsidRPr="00DF2FD5" w14:paraId="2D963462" w14:textId="77777777" w:rsidTr="007247FB">
                              <w:trPr>
                                <w:trHeight w:val="194"/>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5287DD64"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41451461"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122B98EB"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Inequalities in access and outcomes</w:t>
                                  </w:r>
                                </w:p>
                              </w:tc>
                            </w:tr>
                            <w:tr w:rsidR="00DF2FD5" w:rsidRPr="00DF2FD5" w14:paraId="6E93CD13" w14:textId="77777777" w:rsidTr="007247FB">
                              <w:trPr>
                                <w:trHeight w:val="484"/>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7664523D"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394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01B3E8AC"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eastAsia="Calibri" w:cs="Arial"/>
                                      <w:color w:val="231F20"/>
                                      <w:sz w:val="18"/>
                                      <w:szCs w:val="18"/>
                                      <w:lang w:eastAsia="en-GB"/>
                                    </w:rPr>
                                    <w:t>Outcomes</w:t>
                                  </w: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6DF1C15C"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Outcomes and prevention</w:t>
                                  </w:r>
                                </w:p>
                              </w:tc>
                            </w:tr>
                            <w:tr w:rsidR="00DF2FD5" w:rsidRPr="00DF2FD5" w14:paraId="1EB5FED7" w14:textId="77777777" w:rsidTr="008C718C">
                              <w:trPr>
                                <w:trHeight w:val="326"/>
                              </w:trPr>
                              <w:tc>
                                <w:tcPr>
                                  <w:tcW w:w="2900" w:type="dxa"/>
                                  <w:vMerge w:val="restart"/>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372F3CFA" w14:textId="411A9D0E" w:rsidR="00DF2FD5" w:rsidRPr="00007727" w:rsidRDefault="0073655F" w:rsidP="00DF2FD5">
                                  <w:pPr>
                                    <w:spacing w:after="0" w:line="240" w:lineRule="auto"/>
                                    <w:textboxTightWrap w:val="none"/>
                                    <w:rPr>
                                      <w:rFonts w:cs="Arial"/>
                                      <w:b/>
                                      <w:bCs/>
                                      <w:color w:val="auto"/>
                                      <w:sz w:val="18"/>
                                      <w:szCs w:val="18"/>
                                      <w:lang w:eastAsia="en-GB"/>
                                    </w:rPr>
                                  </w:pPr>
                                  <w:r>
                                    <w:rPr>
                                      <w:rFonts w:cs="Arial"/>
                                      <w:b/>
                                      <w:bCs/>
                                      <w:color w:val="auto"/>
                                      <w:sz w:val="18"/>
                                      <w:szCs w:val="18"/>
                                      <w:lang w:eastAsia="en-GB"/>
                                    </w:rPr>
                                    <w:t>Enhancing productivity and value for money</w:t>
                                  </w:r>
                                </w:p>
                              </w:tc>
                              <w:tc>
                                <w:tcPr>
                                  <w:tcW w:w="3940" w:type="dxa"/>
                                  <w:vMerge w:val="restart"/>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2A430C07"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eastAsia="Calibri" w:cs="Arial"/>
                                      <w:color w:val="231F20"/>
                                      <w:sz w:val="18"/>
                                      <w:szCs w:val="18"/>
                                      <w:lang w:eastAsia="en-GB"/>
                                    </w:rPr>
                                    <w:t>Finance and efficiency</w:t>
                                  </w: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69312DC6"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Finance</w:t>
                                  </w:r>
                                </w:p>
                              </w:tc>
                            </w:tr>
                            <w:tr w:rsidR="00DF2FD5" w:rsidRPr="00DF2FD5" w14:paraId="27788276" w14:textId="77777777" w:rsidTr="008C718C">
                              <w:trPr>
                                <w:trHeight w:val="41"/>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46FE45E3"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23CBEFC1"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61B9943B"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eastAsia="Calibri" w:cs="Arial"/>
                                      <w:color w:val="231F20"/>
                                      <w:kern w:val="2"/>
                                      <w:sz w:val="18"/>
                                      <w:szCs w:val="18"/>
                                      <w:lang w:eastAsia="en-GB"/>
                                    </w:rPr>
                                    <w:t>People</w:t>
                                  </w:r>
                                </w:p>
                              </w:tc>
                            </w:tr>
                            <w:tr w:rsidR="00DF2FD5" w:rsidRPr="00DF2FD5" w14:paraId="3B2F47CA" w14:textId="77777777" w:rsidTr="008C718C">
                              <w:trPr>
                                <w:trHeight w:val="352"/>
                              </w:trPr>
                              <w:tc>
                                <w:tcPr>
                                  <w:tcW w:w="290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5531B957" w14:textId="77777777" w:rsidR="00DF2FD5" w:rsidRPr="00007727" w:rsidRDefault="00DF2FD5" w:rsidP="00DF2FD5">
                                  <w:pPr>
                                    <w:spacing w:after="160" w:line="256" w:lineRule="auto"/>
                                    <w:textboxTightWrap w:val="none"/>
                                    <w:rPr>
                                      <w:rFonts w:cs="Arial"/>
                                      <w:b/>
                                      <w:bCs/>
                                      <w:color w:val="auto"/>
                                      <w:sz w:val="18"/>
                                      <w:szCs w:val="18"/>
                                      <w:lang w:eastAsia="en-GB"/>
                                    </w:rPr>
                                  </w:pPr>
                                  <w:r w:rsidRPr="00007727">
                                    <w:rPr>
                                      <w:rFonts w:cs="Arial"/>
                                      <w:b/>
                                      <w:bCs/>
                                      <w:color w:val="231F20"/>
                                      <w:sz w:val="18"/>
                                      <w:szCs w:val="18"/>
                                      <w:lang w:eastAsia="en-GB"/>
                                    </w:rPr>
                                    <w:t>Support social and economic development</w:t>
                                  </w:r>
                                </w:p>
                              </w:tc>
                              <w:tc>
                                <w:tcPr>
                                  <w:tcW w:w="394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6FA01B97"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eastAsia="Calibri" w:cs="Arial"/>
                                      <w:color w:val="231F20"/>
                                      <w:sz w:val="18"/>
                                      <w:szCs w:val="18"/>
                                      <w:lang w:eastAsia="en-GB"/>
                                    </w:rPr>
                                    <w:t>Social Value</w:t>
                                  </w: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6C4F59A7"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Social value</w:t>
                                  </w:r>
                                </w:p>
                              </w:tc>
                            </w:tr>
                          </w:tbl>
                          <w:p w14:paraId="65FD65C4" w14:textId="77777777" w:rsidR="00CA4582" w:rsidRDefault="00CA4582" w:rsidP="00CA4582">
                            <w:pPr>
                              <w:pStyle w:val="NormalWeb"/>
                              <w:spacing w:before="0" w:beforeAutospacing="0" w:after="0" w:afterAutospacing="0"/>
                              <w:rPr>
                                <w:rFonts w:ascii="Arial" w:eastAsia="+mn-ea" w:hAnsi="Arial" w:cs="Arial"/>
                                <w:b/>
                                <w:bCs/>
                                <w:color w:val="231F20"/>
                                <w:kern w:val="24"/>
                              </w:rPr>
                            </w:pPr>
                          </w:p>
                          <w:p w14:paraId="767EC7FE" w14:textId="32F1169D" w:rsidR="00CA4582" w:rsidRDefault="00CA4582" w:rsidP="00CA4582">
                            <w:pPr>
                              <w:pStyle w:val="NormalWeb"/>
                              <w:spacing w:before="0" w:beforeAutospacing="0" w:after="0" w:afterAutospacing="0"/>
                            </w:pPr>
                            <w:r>
                              <w:rPr>
                                <w:rFonts w:ascii="Arial" w:eastAsia="+mn-ea" w:hAnsi="Arial" w:cs="Arial"/>
                                <w:b/>
                                <w:bCs/>
                                <w:color w:val="231F20"/>
                                <w:kern w:val="24"/>
                              </w:rPr>
                              <w:t>Note:</w:t>
                            </w:r>
                            <w:r>
                              <w:rPr>
                                <w:rFonts w:ascii="Arial" w:eastAsia="+mn-ea" w:hAnsi="Arial" w:cs="Arial"/>
                                <w:color w:val="231F20"/>
                                <w:kern w:val="24"/>
                              </w:rPr>
                              <w:t xml:space="preserve"> the table reflects areas where robust metrics are available by type of organisation – where there are gaps it does </w:t>
                            </w:r>
                            <w:r>
                              <w:rPr>
                                <w:rFonts w:ascii="Arial" w:eastAsia="+mn-ea" w:hAnsi="Arial" w:cs="Arial"/>
                                <w:b/>
                                <w:bCs/>
                                <w:color w:val="231F20"/>
                                <w:kern w:val="24"/>
                              </w:rPr>
                              <w:t xml:space="preserve">not </w:t>
                            </w:r>
                            <w:r>
                              <w:rPr>
                                <w:rFonts w:ascii="Arial" w:eastAsia="+mn-ea" w:hAnsi="Arial" w:cs="Arial"/>
                                <w:color w:val="231F20"/>
                                <w:kern w:val="24"/>
                              </w:rPr>
                              <w:t>imply that these organisations have no responsibility or interest in a specific areas of activity (e.g. community providers support system-wide maternity activities without a specific measure underpinning it)</w:t>
                            </w:r>
                          </w:p>
                          <w:p w14:paraId="667534D9" w14:textId="77777777" w:rsidR="00184DC6" w:rsidRDefault="00184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2F79D" id="Text Box 1" o:spid="_x0000_s1028" type="#_x0000_t202" style="position:absolute;left:0;text-align:left;margin-left:11.75pt;margin-top:5.4pt;width:724.2pt;height:43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" filled="f" stroked="f" strokeweight=".5pt">
                <v:textbox>
                  <w:txbxContent>
                    <w:tbl>
                      <w:tblPr>
                        <w:tblW w:w="11160" w:type="dxa"/>
                        <w:tblCellMar>
                          <w:left w:w="0" w:type="dxa"/>
                          <w:right w:w="0" w:type="dxa"/>
                        </w:tblCellMar>
                        <w:tblLook w:val="0420" w:firstRow="1" w:lastRow="0" w:firstColumn="0" w:lastColumn="0" w:noHBand="0" w:noVBand="1"/>
                      </w:tblPr>
                      <w:tblGrid>
                        <w:gridCol w:w="2900"/>
                        <w:gridCol w:w="3940"/>
                        <w:gridCol w:w="4320"/>
                      </w:tblGrid>
                      <w:tr w:rsidR="00DF2FD5" w:rsidRPr="00DF2FD5" w14:paraId="5AFC7AFA" w14:textId="77777777" w:rsidTr="0076274B">
                        <w:trPr>
                          <w:trHeight w:val="251"/>
                        </w:trPr>
                        <w:tc>
                          <w:tcPr>
                            <w:tcW w:w="2900" w:type="dxa"/>
                            <w:tcBorders>
                              <w:top w:val="single" w:sz="8" w:space="0" w:color="231F20"/>
                              <w:left w:val="single" w:sz="8" w:space="0" w:color="231F20"/>
                              <w:bottom w:val="single" w:sz="8" w:space="0" w:color="231F20"/>
                              <w:right w:val="single" w:sz="8" w:space="0" w:color="231F20"/>
                            </w:tcBorders>
                            <w:shd w:val="clear" w:color="auto" w:fill="003087"/>
                            <w:tcMar>
                              <w:top w:w="15" w:type="dxa"/>
                              <w:left w:w="108" w:type="dxa"/>
                              <w:bottom w:w="0" w:type="dxa"/>
                              <w:right w:w="108" w:type="dxa"/>
                            </w:tcMar>
                            <w:vAlign w:val="center"/>
                            <w:hideMark/>
                          </w:tcPr>
                          <w:p w14:paraId="31577A76" w14:textId="77777777" w:rsidR="00DF2FD5" w:rsidRPr="00DF2FD5" w:rsidRDefault="00DF2FD5" w:rsidP="00DF2FD5">
                            <w:pPr>
                              <w:spacing w:after="160" w:line="256" w:lineRule="auto"/>
                              <w:textboxTightWrap w:val="none"/>
                              <w:rPr>
                                <w:rFonts w:cs="Arial"/>
                                <w:color w:val="auto"/>
                                <w:sz w:val="36"/>
                                <w:szCs w:val="36"/>
                                <w:lang w:eastAsia="en-GB"/>
                              </w:rPr>
                            </w:pPr>
                            <w:r w:rsidRPr="00DF2FD5">
                              <w:rPr>
                                <w:rFonts w:eastAsia="Calibri" w:cs="Calibri"/>
                                <w:b/>
                                <w:bCs/>
                                <w:color w:val="FFFFFF"/>
                                <w:sz w:val="20"/>
                                <w:szCs w:val="20"/>
                                <w:lang w:eastAsia="en-GB"/>
                              </w:rPr>
                              <w:t>Objectives</w:t>
                            </w:r>
                          </w:p>
                        </w:tc>
                        <w:tc>
                          <w:tcPr>
                            <w:tcW w:w="3940" w:type="dxa"/>
                            <w:tcBorders>
                              <w:top w:val="single" w:sz="8" w:space="0" w:color="231F20"/>
                              <w:left w:val="single" w:sz="8" w:space="0" w:color="231F20"/>
                              <w:bottom w:val="single" w:sz="8" w:space="0" w:color="231F20"/>
                              <w:right w:val="single" w:sz="8" w:space="0" w:color="231F20"/>
                            </w:tcBorders>
                            <w:shd w:val="clear" w:color="auto" w:fill="003087"/>
                            <w:tcMar>
                              <w:top w:w="15" w:type="dxa"/>
                              <w:left w:w="108" w:type="dxa"/>
                              <w:bottom w:w="0" w:type="dxa"/>
                              <w:right w:w="108" w:type="dxa"/>
                            </w:tcMar>
                            <w:vAlign w:val="center"/>
                            <w:hideMark/>
                          </w:tcPr>
                          <w:p w14:paraId="0401CC53" w14:textId="77777777" w:rsidR="00DF2FD5" w:rsidRPr="00DF2FD5" w:rsidRDefault="00DF2FD5" w:rsidP="00DF2FD5">
                            <w:pPr>
                              <w:spacing w:after="160" w:line="256" w:lineRule="auto"/>
                              <w:jc w:val="center"/>
                              <w:textboxTightWrap w:val="none"/>
                              <w:rPr>
                                <w:rFonts w:cs="Arial"/>
                                <w:color w:val="auto"/>
                                <w:sz w:val="36"/>
                                <w:szCs w:val="36"/>
                                <w:lang w:eastAsia="en-GB"/>
                              </w:rPr>
                            </w:pPr>
                            <w:r w:rsidRPr="00DF2FD5">
                              <w:rPr>
                                <w:rFonts w:eastAsia="Calibri" w:cs="Calibri"/>
                                <w:b/>
                                <w:bCs/>
                                <w:color w:val="FFFFFF"/>
                                <w:sz w:val="20"/>
                                <w:szCs w:val="20"/>
                                <w:lang w:eastAsia="en-GB"/>
                              </w:rPr>
                              <w:t>Domain</w:t>
                            </w:r>
                          </w:p>
                        </w:tc>
                        <w:tc>
                          <w:tcPr>
                            <w:tcW w:w="4320" w:type="dxa"/>
                            <w:tcBorders>
                              <w:top w:val="single" w:sz="8" w:space="0" w:color="231F20"/>
                              <w:left w:val="single" w:sz="8" w:space="0" w:color="231F20"/>
                              <w:bottom w:val="single" w:sz="8" w:space="0" w:color="231F20"/>
                              <w:right w:val="single" w:sz="8" w:space="0" w:color="231F20"/>
                            </w:tcBorders>
                            <w:shd w:val="clear" w:color="auto" w:fill="003087"/>
                            <w:tcMar>
                              <w:top w:w="15" w:type="dxa"/>
                              <w:left w:w="108" w:type="dxa"/>
                              <w:bottom w:w="0" w:type="dxa"/>
                              <w:right w:w="108" w:type="dxa"/>
                            </w:tcMar>
                            <w:vAlign w:val="center"/>
                            <w:hideMark/>
                          </w:tcPr>
                          <w:p w14:paraId="54083C41" w14:textId="77777777" w:rsidR="00DF2FD5" w:rsidRPr="00DF2FD5" w:rsidRDefault="00DF2FD5" w:rsidP="00DF2FD5">
                            <w:pPr>
                              <w:spacing w:after="160" w:line="256" w:lineRule="auto"/>
                              <w:jc w:val="center"/>
                              <w:textboxTightWrap w:val="none"/>
                              <w:rPr>
                                <w:rFonts w:cs="Arial"/>
                                <w:color w:val="auto"/>
                                <w:sz w:val="36"/>
                                <w:szCs w:val="36"/>
                                <w:lang w:eastAsia="en-GB"/>
                              </w:rPr>
                            </w:pPr>
                            <w:r w:rsidRPr="00DF2FD5">
                              <w:rPr>
                                <w:rFonts w:cs="Calibri"/>
                                <w:b/>
                                <w:bCs/>
                                <w:color w:val="FFFFFF"/>
                                <w:sz w:val="20"/>
                                <w:szCs w:val="20"/>
                                <w:lang w:eastAsia="en-GB"/>
                              </w:rPr>
                              <w:t>Sub-domain </w:t>
                            </w:r>
                          </w:p>
                        </w:tc>
                      </w:tr>
                      <w:tr w:rsidR="00DF2FD5" w:rsidRPr="00DF2FD5" w14:paraId="1E2D5645" w14:textId="77777777" w:rsidTr="008C718C">
                        <w:trPr>
                          <w:trHeight w:val="243"/>
                        </w:trPr>
                        <w:tc>
                          <w:tcPr>
                            <w:tcW w:w="2900" w:type="dxa"/>
                            <w:vMerge w:val="restart"/>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2306C235" w14:textId="190D5C31" w:rsidR="00DF2FD5" w:rsidRPr="00007727" w:rsidRDefault="00DF2FD5" w:rsidP="00DF2FD5">
                            <w:pPr>
                              <w:spacing w:after="160" w:line="256" w:lineRule="auto"/>
                              <w:textboxTightWrap w:val="none"/>
                              <w:rPr>
                                <w:rFonts w:cs="Arial"/>
                                <w:b/>
                                <w:bCs/>
                                <w:color w:val="auto"/>
                                <w:sz w:val="18"/>
                                <w:szCs w:val="18"/>
                                <w:lang w:eastAsia="en-GB"/>
                              </w:rPr>
                            </w:pPr>
                            <w:r w:rsidRPr="00007727">
                              <w:rPr>
                                <w:rFonts w:eastAsia="Calibri" w:cs="Arial"/>
                                <w:b/>
                                <w:bCs/>
                                <w:color w:val="231F20"/>
                                <w:sz w:val="18"/>
                                <w:szCs w:val="18"/>
                                <w:lang w:eastAsia="en-GB"/>
                              </w:rPr>
                              <w:t>Improve population health and health care</w:t>
                            </w:r>
                          </w:p>
                        </w:tc>
                        <w:tc>
                          <w:tcPr>
                            <w:tcW w:w="3940" w:type="dxa"/>
                            <w:vMerge w:val="restart"/>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5555289F"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eastAsia="Calibri" w:cs="Arial"/>
                                <w:color w:val="231F20"/>
                                <w:sz w:val="18"/>
                                <w:szCs w:val="18"/>
                                <w:lang w:eastAsia="en-GB"/>
                              </w:rPr>
                              <w:t>Operational performance</w:t>
                            </w: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3F042C89"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Urgent and emergency care</w:t>
                            </w:r>
                          </w:p>
                        </w:tc>
                      </w:tr>
                      <w:tr w:rsidR="00DF2FD5" w:rsidRPr="00DF2FD5" w14:paraId="1BF50CE6" w14:textId="77777777" w:rsidTr="00DF2FD5">
                        <w:trPr>
                          <w:trHeight w:val="366"/>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4C534804"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31FEAF13"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128F3BC7"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Elective care</w:t>
                            </w:r>
                          </w:p>
                        </w:tc>
                      </w:tr>
                      <w:tr w:rsidR="00DF2FD5" w:rsidRPr="00DF2FD5" w14:paraId="4B3A4B59" w14:textId="77777777" w:rsidTr="00DF2FD5">
                        <w:trPr>
                          <w:trHeight w:val="366"/>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22FC9199"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4E6A5D58"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618BCCBD"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Cancer care</w:t>
                            </w:r>
                          </w:p>
                        </w:tc>
                      </w:tr>
                      <w:tr w:rsidR="00DF2FD5" w:rsidRPr="00DF2FD5" w14:paraId="49F4F738" w14:textId="77777777" w:rsidTr="00DF2FD5">
                        <w:trPr>
                          <w:trHeight w:val="366"/>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16696343"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6411B138"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15C88DCF"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Diagnostics</w:t>
                            </w:r>
                          </w:p>
                        </w:tc>
                      </w:tr>
                      <w:tr w:rsidR="00DF2FD5" w:rsidRPr="00DF2FD5" w14:paraId="3D28793E" w14:textId="77777777" w:rsidTr="00DF2FD5">
                        <w:trPr>
                          <w:trHeight w:val="366"/>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55BD01F3"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4F00A29D"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666B4AFB"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Mental health</w:t>
                            </w:r>
                          </w:p>
                        </w:tc>
                      </w:tr>
                      <w:tr w:rsidR="00DF2FD5" w:rsidRPr="00DF2FD5" w14:paraId="20002744" w14:textId="77777777" w:rsidTr="00DF2FD5">
                        <w:trPr>
                          <w:trHeight w:val="366"/>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54C0153E"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67FBBD91"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3FA45FE8"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LDA</w:t>
                            </w:r>
                          </w:p>
                        </w:tc>
                      </w:tr>
                      <w:tr w:rsidR="00DF2FD5" w:rsidRPr="00DF2FD5" w14:paraId="08A7CE45" w14:textId="77777777" w:rsidTr="00DF2FD5">
                        <w:trPr>
                          <w:trHeight w:val="366"/>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40EF2954"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32115C40"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5F0CC9D5"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Maternity</w:t>
                            </w:r>
                          </w:p>
                        </w:tc>
                      </w:tr>
                      <w:tr w:rsidR="00DF2FD5" w:rsidRPr="00DF2FD5" w14:paraId="3C9A5C58" w14:textId="77777777" w:rsidTr="00DF2FD5">
                        <w:trPr>
                          <w:trHeight w:val="366"/>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28A0D109"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3C8000F0"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15B0D9A5"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Primary and community care</w:t>
                            </w:r>
                          </w:p>
                        </w:tc>
                      </w:tr>
                      <w:tr w:rsidR="00DF2FD5" w:rsidRPr="00DF2FD5" w14:paraId="2B40AAE1" w14:textId="77777777" w:rsidTr="00DF2FD5">
                        <w:trPr>
                          <w:trHeight w:val="366"/>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08D567CD"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7DFBD00D"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406985D9"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Children and young people</w:t>
                            </w:r>
                          </w:p>
                        </w:tc>
                      </w:tr>
                      <w:tr w:rsidR="00DF2FD5" w:rsidRPr="00DF2FD5" w14:paraId="3A1EF660" w14:textId="77777777" w:rsidTr="007247FB">
                        <w:trPr>
                          <w:trHeight w:val="41"/>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6AE8336E"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6909FDEB"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3F5EFD0F"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eastAsia="Calibri" w:cs="Arial"/>
                                <w:color w:val="231F20"/>
                                <w:kern w:val="2"/>
                                <w:sz w:val="18"/>
                                <w:szCs w:val="18"/>
                                <w:lang w:eastAsia="en-GB"/>
                              </w:rPr>
                              <w:t>Frailty</w:t>
                            </w:r>
                          </w:p>
                        </w:tc>
                      </w:tr>
                      <w:tr w:rsidR="00DF2FD5" w:rsidRPr="00DF2FD5" w14:paraId="4DEB2F71" w14:textId="77777777" w:rsidTr="008C718C">
                        <w:trPr>
                          <w:trHeight w:val="189"/>
                        </w:trPr>
                        <w:tc>
                          <w:tcPr>
                            <w:tcW w:w="2900" w:type="dxa"/>
                            <w:vMerge w:val="restart"/>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50DE971E" w14:textId="77777777" w:rsidR="00DF2FD5" w:rsidRPr="00007727" w:rsidRDefault="00DF2FD5" w:rsidP="00DF2FD5">
                            <w:pPr>
                              <w:spacing w:after="0" w:line="240" w:lineRule="auto"/>
                              <w:textboxTightWrap w:val="none"/>
                              <w:rPr>
                                <w:rFonts w:cs="Arial"/>
                                <w:b/>
                                <w:bCs/>
                                <w:color w:val="auto"/>
                                <w:sz w:val="18"/>
                                <w:szCs w:val="18"/>
                                <w:lang w:eastAsia="en-GB"/>
                              </w:rPr>
                            </w:pPr>
                            <w:r w:rsidRPr="00007727">
                              <w:rPr>
                                <w:rFonts w:cs="Arial"/>
                                <w:b/>
                                <w:bCs/>
                                <w:color w:val="231F20"/>
                                <w:kern w:val="24"/>
                                <w:sz w:val="18"/>
                                <w:szCs w:val="18"/>
                                <w:lang w:eastAsia="en-GB"/>
                              </w:rPr>
                              <w:t>Tackle inequalities in outcomes, experience and access</w:t>
                            </w:r>
                          </w:p>
                        </w:tc>
                        <w:tc>
                          <w:tcPr>
                            <w:tcW w:w="3940" w:type="dxa"/>
                            <w:vMerge w:val="restart"/>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0658365D"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eastAsia="Calibri" w:cs="Arial"/>
                                <w:color w:val="231F20"/>
                                <w:sz w:val="18"/>
                                <w:szCs w:val="18"/>
                                <w:lang w:eastAsia="en-GB"/>
                              </w:rPr>
                              <w:t>Quality &amp; inequalities</w:t>
                            </w: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012A46CF"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Quality of care</w:t>
                            </w:r>
                          </w:p>
                        </w:tc>
                      </w:tr>
                      <w:tr w:rsidR="00DF2FD5" w:rsidRPr="00DF2FD5" w14:paraId="2D963462" w14:textId="77777777" w:rsidTr="007247FB">
                        <w:trPr>
                          <w:trHeight w:val="194"/>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5287DD64"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41451461"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122B98EB"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Inequalities in access and outcomes</w:t>
                            </w:r>
                          </w:p>
                        </w:tc>
                      </w:tr>
                      <w:tr w:rsidR="00DF2FD5" w:rsidRPr="00DF2FD5" w14:paraId="6E93CD13" w14:textId="77777777" w:rsidTr="007247FB">
                        <w:trPr>
                          <w:trHeight w:val="484"/>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7664523D"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394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01B3E8AC"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eastAsia="Calibri" w:cs="Arial"/>
                                <w:color w:val="231F20"/>
                                <w:sz w:val="18"/>
                                <w:szCs w:val="18"/>
                                <w:lang w:eastAsia="en-GB"/>
                              </w:rPr>
                              <w:t>Outcomes</w:t>
                            </w: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6DF1C15C"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Outcomes and prevention</w:t>
                            </w:r>
                          </w:p>
                        </w:tc>
                      </w:tr>
                      <w:tr w:rsidR="00DF2FD5" w:rsidRPr="00DF2FD5" w14:paraId="1EB5FED7" w14:textId="77777777" w:rsidTr="008C718C">
                        <w:trPr>
                          <w:trHeight w:val="326"/>
                        </w:trPr>
                        <w:tc>
                          <w:tcPr>
                            <w:tcW w:w="2900" w:type="dxa"/>
                            <w:vMerge w:val="restart"/>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372F3CFA" w14:textId="411A9D0E" w:rsidR="00DF2FD5" w:rsidRPr="00007727" w:rsidRDefault="0073655F" w:rsidP="00DF2FD5">
                            <w:pPr>
                              <w:spacing w:after="0" w:line="240" w:lineRule="auto"/>
                              <w:textboxTightWrap w:val="none"/>
                              <w:rPr>
                                <w:rFonts w:cs="Arial"/>
                                <w:b/>
                                <w:bCs/>
                                <w:color w:val="auto"/>
                                <w:sz w:val="18"/>
                                <w:szCs w:val="18"/>
                                <w:lang w:eastAsia="en-GB"/>
                              </w:rPr>
                            </w:pPr>
                            <w:r>
                              <w:rPr>
                                <w:rFonts w:cs="Arial"/>
                                <w:b/>
                                <w:bCs/>
                                <w:color w:val="auto"/>
                                <w:sz w:val="18"/>
                                <w:szCs w:val="18"/>
                                <w:lang w:eastAsia="en-GB"/>
                              </w:rPr>
                              <w:t>Enhancing productivity and value for money</w:t>
                            </w:r>
                          </w:p>
                        </w:tc>
                        <w:tc>
                          <w:tcPr>
                            <w:tcW w:w="3940" w:type="dxa"/>
                            <w:vMerge w:val="restart"/>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2A430C07"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eastAsia="Calibri" w:cs="Arial"/>
                                <w:color w:val="231F20"/>
                                <w:sz w:val="18"/>
                                <w:szCs w:val="18"/>
                                <w:lang w:eastAsia="en-GB"/>
                              </w:rPr>
                              <w:t>Finance and efficiency</w:t>
                            </w: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69312DC6"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Finance</w:t>
                            </w:r>
                          </w:p>
                        </w:tc>
                      </w:tr>
                      <w:tr w:rsidR="00DF2FD5" w:rsidRPr="00DF2FD5" w14:paraId="27788276" w14:textId="77777777" w:rsidTr="008C718C">
                        <w:trPr>
                          <w:trHeight w:val="41"/>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46FE45E3" w14:textId="77777777" w:rsidR="00DF2FD5" w:rsidRPr="00007727" w:rsidRDefault="00DF2FD5" w:rsidP="00DF2FD5">
                            <w:pPr>
                              <w:spacing w:after="0" w:line="240" w:lineRule="auto"/>
                              <w:textboxTightWrap w:val="none"/>
                              <w:rPr>
                                <w:rFonts w:cs="Arial"/>
                                <w:b/>
                                <w:bCs/>
                                <w:color w:val="auto"/>
                                <w:sz w:val="18"/>
                                <w:szCs w:val="18"/>
                                <w:lang w:eastAsia="en-GB"/>
                              </w:rPr>
                            </w:pPr>
                          </w:p>
                        </w:tc>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23CBEFC1" w14:textId="77777777" w:rsidR="00DF2FD5" w:rsidRPr="00DF2FD5" w:rsidRDefault="00DF2FD5" w:rsidP="00DF2FD5">
                            <w:pPr>
                              <w:spacing w:after="0" w:line="240" w:lineRule="auto"/>
                              <w:textboxTightWrap w:val="none"/>
                              <w:rPr>
                                <w:rFonts w:cs="Arial"/>
                                <w:color w:val="auto"/>
                                <w:sz w:val="18"/>
                                <w:szCs w:val="18"/>
                                <w:lang w:eastAsia="en-GB"/>
                              </w:rPr>
                            </w:pP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61B9943B"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eastAsia="Calibri" w:cs="Arial"/>
                                <w:color w:val="231F20"/>
                                <w:kern w:val="2"/>
                                <w:sz w:val="18"/>
                                <w:szCs w:val="18"/>
                                <w:lang w:eastAsia="en-GB"/>
                              </w:rPr>
                              <w:t>People</w:t>
                            </w:r>
                          </w:p>
                        </w:tc>
                      </w:tr>
                      <w:tr w:rsidR="00DF2FD5" w:rsidRPr="00DF2FD5" w14:paraId="3B2F47CA" w14:textId="77777777" w:rsidTr="008C718C">
                        <w:trPr>
                          <w:trHeight w:val="352"/>
                        </w:trPr>
                        <w:tc>
                          <w:tcPr>
                            <w:tcW w:w="290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5531B957" w14:textId="77777777" w:rsidR="00DF2FD5" w:rsidRPr="00007727" w:rsidRDefault="00DF2FD5" w:rsidP="00DF2FD5">
                            <w:pPr>
                              <w:spacing w:after="160" w:line="256" w:lineRule="auto"/>
                              <w:textboxTightWrap w:val="none"/>
                              <w:rPr>
                                <w:rFonts w:cs="Arial"/>
                                <w:b/>
                                <w:bCs/>
                                <w:color w:val="auto"/>
                                <w:sz w:val="18"/>
                                <w:szCs w:val="18"/>
                                <w:lang w:eastAsia="en-GB"/>
                              </w:rPr>
                            </w:pPr>
                            <w:r w:rsidRPr="00007727">
                              <w:rPr>
                                <w:rFonts w:cs="Arial"/>
                                <w:b/>
                                <w:bCs/>
                                <w:color w:val="231F20"/>
                                <w:sz w:val="18"/>
                                <w:szCs w:val="18"/>
                                <w:lang w:eastAsia="en-GB"/>
                              </w:rPr>
                              <w:t>Support social and economic development</w:t>
                            </w:r>
                          </w:p>
                        </w:tc>
                        <w:tc>
                          <w:tcPr>
                            <w:tcW w:w="394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6FA01B97"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eastAsia="Calibri" w:cs="Arial"/>
                                <w:color w:val="231F20"/>
                                <w:sz w:val="18"/>
                                <w:szCs w:val="18"/>
                                <w:lang w:eastAsia="en-GB"/>
                              </w:rPr>
                              <w:t>Social Value</w:t>
                            </w:r>
                          </w:p>
                        </w:tc>
                        <w:tc>
                          <w:tcPr>
                            <w:tcW w:w="4320" w:type="dxa"/>
                            <w:tcBorders>
                              <w:top w:val="single" w:sz="8" w:space="0" w:color="231F20"/>
                              <w:left w:val="single" w:sz="8" w:space="0" w:color="231F20"/>
                              <w:bottom w:val="single" w:sz="8" w:space="0" w:color="231F20"/>
                              <w:right w:val="single" w:sz="8" w:space="0" w:color="231F20"/>
                            </w:tcBorders>
                            <w:shd w:val="clear" w:color="auto" w:fill="auto"/>
                            <w:tcMar>
                              <w:top w:w="15" w:type="dxa"/>
                              <w:left w:w="108" w:type="dxa"/>
                              <w:bottom w:w="0" w:type="dxa"/>
                              <w:right w:w="108" w:type="dxa"/>
                            </w:tcMar>
                            <w:vAlign w:val="center"/>
                            <w:hideMark/>
                          </w:tcPr>
                          <w:p w14:paraId="6C4F59A7" w14:textId="77777777" w:rsidR="00DF2FD5" w:rsidRPr="00DF2FD5" w:rsidRDefault="00DF2FD5" w:rsidP="00DF2FD5">
                            <w:pPr>
                              <w:spacing w:after="160" w:line="256" w:lineRule="auto"/>
                              <w:jc w:val="center"/>
                              <w:textboxTightWrap w:val="none"/>
                              <w:rPr>
                                <w:rFonts w:cs="Arial"/>
                                <w:color w:val="auto"/>
                                <w:sz w:val="18"/>
                                <w:szCs w:val="18"/>
                                <w:lang w:eastAsia="en-GB"/>
                              </w:rPr>
                            </w:pPr>
                            <w:r w:rsidRPr="00DF2FD5">
                              <w:rPr>
                                <w:rFonts w:cs="Arial"/>
                                <w:color w:val="231F20"/>
                                <w:sz w:val="18"/>
                                <w:szCs w:val="18"/>
                                <w:lang w:eastAsia="en-GB"/>
                              </w:rPr>
                              <w:t>Social value</w:t>
                            </w:r>
                          </w:p>
                        </w:tc>
                      </w:tr>
                    </w:tbl>
                    <w:p w14:paraId="65FD65C4" w14:textId="77777777" w:rsidR="00CA4582" w:rsidRDefault="00CA4582" w:rsidP="00CA4582">
                      <w:pPr>
                        <w:pStyle w:val="NormalWeb"/>
                        <w:spacing w:before="0" w:beforeAutospacing="0" w:after="0" w:afterAutospacing="0"/>
                        <w:rPr>
                          <w:rFonts w:ascii="Arial" w:eastAsia="+mn-ea" w:hAnsi="Arial" w:cs="Arial"/>
                          <w:b/>
                          <w:bCs/>
                          <w:color w:val="231F20"/>
                          <w:kern w:val="24"/>
                        </w:rPr>
                      </w:pPr>
                    </w:p>
                    <w:p w14:paraId="767EC7FE" w14:textId="32F1169D" w:rsidR="00CA4582" w:rsidRDefault="00CA4582" w:rsidP="00CA4582">
                      <w:pPr>
                        <w:pStyle w:val="NormalWeb"/>
                        <w:spacing w:before="0" w:beforeAutospacing="0" w:after="0" w:afterAutospacing="0"/>
                      </w:pPr>
                      <w:r>
                        <w:rPr>
                          <w:rFonts w:ascii="Arial" w:eastAsia="+mn-ea" w:hAnsi="Arial" w:cs="Arial"/>
                          <w:b/>
                          <w:bCs/>
                          <w:color w:val="231F20"/>
                          <w:kern w:val="24"/>
                        </w:rPr>
                        <w:t>Note:</w:t>
                      </w:r>
                      <w:r>
                        <w:rPr>
                          <w:rFonts w:ascii="Arial" w:eastAsia="+mn-ea" w:hAnsi="Arial" w:cs="Arial"/>
                          <w:color w:val="231F20"/>
                          <w:kern w:val="24"/>
                        </w:rPr>
                        <w:t xml:space="preserve"> the table reflects areas where robust metrics are available by type of organisation – where there are gaps it does </w:t>
                      </w:r>
                      <w:r>
                        <w:rPr>
                          <w:rFonts w:ascii="Arial" w:eastAsia="+mn-ea" w:hAnsi="Arial" w:cs="Arial"/>
                          <w:b/>
                          <w:bCs/>
                          <w:color w:val="231F20"/>
                          <w:kern w:val="24"/>
                        </w:rPr>
                        <w:t xml:space="preserve">not </w:t>
                      </w:r>
                      <w:r>
                        <w:rPr>
                          <w:rFonts w:ascii="Arial" w:eastAsia="+mn-ea" w:hAnsi="Arial" w:cs="Arial"/>
                          <w:color w:val="231F20"/>
                          <w:kern w:val="24"/>
                        </w:rPr>
                        <w:t>imply that these organisations have no responsibility or interest in a specific areas of activity (e.g. community providers support system-wide maternity activities without a specific measure underpinning it)</w:t>
                      </w:r>
                    </w:p>
                    <w:p w14:paraId="667534D9" w14:textId="77777777" w:rsidR="00184DC6" w:rsidRDefault="00184DC6"/>
                  </w:txbxContent>
                </v:textbox>
              </v:shape>
            </w:pict>
          </mc:Fallback>
        </mc:AlternateContent>
      </w:r>
      <w:r w:rsidR="007247FB" w:rsidRPr="00A161AC">
        <w:rPr>
          <w:noProof/>
        </w:rPr>
        <mc:AlternateContent>
          <mc:Choice Requires="wps">
            <w:drawing>
              <wp:anchor distT="0" distB="0" distL="114300" distR="114300" simplePos="0" relativeHeight="251678720" behindDoc="0" locked="0" layoutInCell="1" allowOverlap="1" wp14:anchorId="3B45C617" wp14:editId="7C0DC293">
                <wp:simplePos x="0" y="0"/>
                <wp:positionH relativeFrom="column">
                  <wp:posOffset>7616937</wp:posOffset>
                </wp:positionH>
                <wp:positionV relativeFrom="paragraph">
                  <wp:posOffset>436021</wp:posOffset>
                </wp:positionV>
                <wp:extent cx="1685364" cy="4034117"/>
                <wp:effectExtent l="0" t="0" r="10160" b="24130"/>
                <wp:wrapNone/>
                <wp:docPr id="902728597" name="Text Box 2"/>
                <wp:cNvGraphicFramePr/>
                <a:graphic xmlns:a="http://schemas.openxmlformats.org/drawingml/2006/main">
                  <a:graphicData uri="http://schemas.microsoft.com/office/word/2010/wordprocessingShape">
                    <wps:wsp>
                      <wps:cNvSpPr txBox="1"/>
                      <wps:spPr>
                        <a:xfrm>
                          <a:off x="0" y="0"/>
                          <a:ext cx="1685364" cy="4034117"/>
                        </a:xfrm>
                        <a:prstGeom prst="rect">
                          <a:avLst/>
                        </a:prstGeom>
                        <a:noFill/>
                        <a:ln w="12700">
                          <a:solidFill>
                            <a:prstClr val="black"/>
                          </a:solidFill>
                        </a:ln>
                      </wps:spPr>
                      <wps:txbx>
                        <w:txbxContent>
                          <w:p w14:paraId="34CF3BDA" w14:textId="77777777" w:rsidR="0076274B" w:rsidRDefault="0076274B" w:rsidP="0076274B">
                            <w:pPr>
                              <w:pStyle w:val="NormalWeb"/>
                              <w:spacing w:before="0" w:beforeAutospacing="0" w:after="0" w:afterAutospacing="0"/>
                              <w:jc w:val="center"/>
                              <w:rPr>
                                <w:rFonts w:ascii="Arial" w:eastAsia="+mn-ea" w:hAnsi="Arial" w:cs="+mn-cs"/>
                                <w:color w:val="231F20"/>
                                <w:kern w:val="24"/>
                              </w:rPr>
                            </w:pPr>
                          </w:p>
                          <w:p w14:paraId="331BD72A" w14:textId="77777777" w:rsidR="0076274B" w:rsidRDefault="0076274B" w:rsidP="0076274B">
                            <w:pPr>
                              <w:pStyle w:val="NormalWeb"/>
                              <w:spacing w:before="0" w:beforeAutospacing="0" w:after="0" w:afterAutospacing="0"/>
                              <w:jc w:val="center"/>
                              <w:rPr>
                                <w:rFonts w:ascii="Arial" w:eastAsia="+mn-ea" w:hAnsi="Arial" w:cs="+mn-cs"/>
                                <w:color w:val="231F20"/>
                                <w:kern w:val="24"/>
                              </w:rPr>
                            </w:pPr>
                          </w:p>
                          <w:p w14:paraId="5CA198B7" w14:textId="77777777" w:rsidR="0076274B" w:rsidRDefault="0076274B" w:rsidP="0076274B">
                            <w:pPr>
                              <w:pStyle w:val="NormalWeb"/>
                              <w:spacing w:before="0" w:beforeAutospacing="0" w:after="0" w:afterAutospacing="0"/>
                              <w:jc w:val="center"/>
                              <w:rPr>
                                <w:rFonts w:ascii="Arial" w:eastAsia="+mn-ea" w:hAnsi="Arial" w:cs="+mn-cs"/>
                                <w:color w:val="231F20"/>
                                <w:kern w:val="24"/>
                              </w:rPr>
                            </w:pPr>
                          </w:p>
                          <w:p w14:paraId="34303325" w14:textId="284BE8A2" w:rsidR="0076274B" w:rsidRDefault="0076274B" w:rsidP="0076274B">
                            <w:pPr>
                              <w:pStyle w:val="NormalWeb"/>
                              <w:spacing w:before="0" w:beforeAutospacing="0" w:after="0" w:afterAutospacing="0"/>
                              <w:jc w:val="center"/>
                            </w:pPr>
                            <w:r>
                              <w:rPr>
                                <w:rFonts w:ascii="Arial" w:eastAsia="+mn-ea" w:hAnsi="Arial" w:cs="+mn-cs"/>
                                <w:color w:val="231F20"/>
                                <w:kern w:val="24"/>
                              </w:rPr>
                              <w:t xml:space="preserve">We will assign individual types of organisations (ICBs and Acute, Mental Health, Community and Ambulance providers) the appropriate metrics across the domains to reflect their contribution to the overall NHS priorities in their system and how these are </w:t>
                            </w:r>
                            <w:r w:rsidR="00CA4582">
                              <w:rPr>
                                <w:rFonts w:ascii="Arial" w:eastAsia="+mn-ea" w:hAnsi="Arial" w:cs="+mn-cs"/>
                                <w:color w:val="231F20"/>
                                <w:kern w:val="24"/>
                              </w:rPr>
                              <w:t>measured.</w:t>
                            </w:r>
                            <w:r>
                              <w:rPr>
                                <w:rFonts w:ascii="Arial" w:eastAsia="+mn-ea" w:hAnsi="Arial" w:cs="+mn-cs"/>
                                <w:color w:val="231F20"/>
                                <w:kern w:val="24"/>
                              </w:rPr>
                              <w:t xml:space="preserve">  </w:t>
                            </w:r>
                          </w:p>
                          <w:p w14:paraId="33001DC7" w14:textId="77777777" w:rsidR="00686F36" w:rsidRDefault="00686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45C617" id="_x0000_s1029" type="#_x0000_t202" style="position:absolute;left:0;text-align:left;margin-left:599.75pt;margin-top:34.35pt;width:132.7pt;height:317.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" filled="f" strokeweight="1pt">
                <v:textbox>
                  <w:txbxContent>
                    <w:p w14:paraId="34CF3BDA" w14:textId="77777777" w:rsidR="0076274B" w:rsidRDefault="0076274B" w:rsidP="0076274B">
                      <w:pPr>
                        <w:pStyle w:val="NormalWeb"/>
                        <w:spacing w:before="0" w:beforeAutospacing="0" w:after="0" w:afterAutospacing="0"/>
                        <w:jc w:val="center"/>
                        <w:rPr>
                          <w:rFonts w:ascii="Arial" w:eastAsia="+mn-ea" w:hAnsi="Arial" w:cs="+mn-cs"/>
                          <w:color w:val="231F20"/>
                          <w:kern w:val="24"/>
                        </w:rPr>
                      </w:pPr>
                    </w:p>
                    <w:p w14:paraId="331BD72A" w14:textId="77777777" w:rsidR="0076274B" w:rsidRDefault="0076274B" w:rsidP="0076274B">
                      <w:pPr>
                        <w:pStyle w:val="NormalWeb"/>
                        <w:spacing w:before="0" w:beforeAutospacing="0" w:after="0" w:afterAutospacing="0"/>
                        <w:jc w:val="center"/>
                        <w:rPr>
                          <w:rFonts w:ascii="Arial" w:eastAsia="+mn-ea" w:hAnsi="Arial" w:cs="+mn-cs"/>
                          <w:color w:val="231F20"/>
                          <w:kern w:val="24"/>
                        </w:rPr>
                      </w:pPr>
                    </w:p>
                    <w:p w14:paraId="5CA198B7" w14:textId="77777777" w:rsidR="0076274B" w:rsidRDefault="0076274B" w:rsidP="0076274B">
                      <w:pPr>
                        <w:pStyle w:val="NormalWeb"/>
                        <w:spacing w:before="0" w:beforeAutospacing="0" w:after="0" w:afterAutospacing="0"/>
                        <w:jc w:val="center"/>
                        <w:rPr>
                          <w:rFonts w:ascii="Arial" w:eastAsia="+mn-ea" w:hAnsi="Arial" w:cs="+mn-cs"/>
                          <w:color w:val="231F20"/>
                          <w:kern w:val="24"/>
                        </w:rPr>
                      </w:pPr>
                    </w:p>
                    <w:p w14:paraId="34303325" w14:textId="284BE8A2" w:rsidR="0076274B" w:rsidRDefault="0076274B" w:rsidP="0076274B">
                      <w:pPr>
                        <w:pStyle w:val="NormalWeb"/>
                        <w:spacing w:before="0" w:beforeAutospacing="0" w:after="0" w:afterAutospacing="0"/>
                        <w:jc w:val="center"/>
                      </w:pPr>
                      <w:r>
                        <w:rPr>
                          <w:rFonts w:ascii="Arial" w:eastAsia="+mn-ea" w:hAnsi="Arial" w:cs="+mn-cs"/>
                          <w:color w:val="231F20"/>
                          <w:kern w:val="24"/>
                        </w:rPr>
                        <w:t xml:space="preserve">We will assign individual types of organisations (ICBs and Acute, Mental Health, Community and Ambulance providers) the appropriate metrics across the domains to reflect their contribution to the overall NHS priorities in their system and how these are </w:t>
                      </w:r>
                      <w:r w:rsidR="00CA4582">
                        <w:rPr>
                          <w:rFonts w:ascii="Arial" w:eastAsia="+mn-ea" w:hAnsi="Arial" w:cs="+mn-cs"/>
                          <w:color w:val="231F20"/>
                          <w:kern w:val="24"/>
                        </w:rPr>
                        <w:t>measured.</w:t>
                      </w:r>
                      <w:r>
                        <w:rPr>
                          <w:rFonts w:ascii="Arial" w:eastAsia="+mn-ea" w:hAnsi="Arial" w:cs="+mn-cs"/>
                          <w:color w:val="231F20"/>
                          <w:kern w:val="24"/>
                        </w:rPr>
                        <w:t xml:space="preserve">  </w:t>
                      </w:r>
                    </w:p>
                    <w:p w14:paraId="33001DC7" w14:textId="77777777" w:rsidR="00686F36" w:rsidRDefault="00686F36"/>
                  </w:txbxContent>
                </v:textbox>
              </v:shape>
            </w:pict>
          </mc:Fallback>
        </mc:AlternateContent>
      </w:r>
      <w:r w:rsidR="00FF4D60" w:rsidRPr="00A161AC">
        <w:br/>
      </w:r>
    </w:p>
    <w:p w14:paraId="51EDF1CB" w14:textId="650F9BE1" w:rsidR="00184DC6" w:rsidRPr="00A161AC" w:rsidRDefault="00184DC6" w:rsidP="000C0576">
      <w:pPr>
        <w:pStyle w:val="Numberedlist"/>
        <w:numPr>
          <w:ilvl w:val="0"/>
          <w:numId w:val="0"/>
        </w:numPr>
        <w:jc w:val="center"/>
        <w:rPr>
          <w:noProof/>
        </w:rPr>
      </w:pPr>
    </w:p>
    <w:p w14:paraId="36201BE9" w14:textId="77777777" w:rsidR="00184DC6" w:rsidRPr="00A161AC" w:rsidRDefault="00184DC6" w:rsidP="000C0576">
      <w:pPr>
        <w:pStyle w:val="Numberedlist"/>
        <w:numPr>
          <w:ilvl w:val="0"/>
          <w:numId w:val="0"/>
        </w:numPr>
        <w:jc w:val="center"/>
        <w:rPr>
          <w:noProof/>
        </w:rPr>
      </w:pPr>
    </w:p>
    <w:p w14:paraId="6BC121B0" w14:textId="77777777" w:rsidR="00184DC6" w:rsidRPr="00A161AC" w:rsidRDefault="00184DC6" w:rsidP="000C0576">
      <w:pPr>
        <w:pStyle w:val="Numberedlist"/>
        <w:numPr>
          <w:ilvl w:val="0"/>
          <w:numId w:val="0"/>
        </w:numPr>
        <w:jc w:val="center"/>
        <w:rPr>
          <w:noProof/>
        </w:rPr>
      </w:pPr>
    </w:p>
    <w:p w14:paraId="1F9D2008" w14:textId="77777777" w:rsidR="00184DC6" w:rsidRPr="00A161AC" w:rsidRDefault="00184DC6" w:rsidP="000C0576">
      <w:pPr>
        <w:pStyle w:val="Numberedlist"/>
        <w:numPr>
          <w:ilvl w:val="0"/>
          <w:numId w:val="0"/>
        </w:numPr>
        <w:jc w:val="center"/>
        <w:rPr>
          <w:noProof/>
        </w:rPr>
      </w:pPr>
    </w:p>
    <w:p w14:paraId="34F090C1" w14:textId="77777777" w:rsidR="00184DC6" w:rsidRPr="00A161AC" w:rsidRDefault="00184DC6" w:rsidP="000C0576">
      <w:pPr>
        <w:pStyle w:val="Numberedlist"/>
        <w:numPr>
          <w:ilvl w:val="0"/>
          <w:numId w:val="0"/>
        </w:numPr>
        <w:jc w:val="center"/>
        <w:rPr>
          <w:noProof/>
        </w:rPr>
      </w:pPr>
    </w:p>
    <w:p w14:paraId="45B65B5E" w14:textId="77777777" w:rsidR="00184DC6" w:rsidRPr="00A161AC" w:rsidRDefault="00184DC6" w:rsidP="000C0576">
      <w:pPr>
        <w:pStyle w:val="Numberedlist"/>
        <w:numPr>
          <w:ilvl w:val="0"/>
          <w:numId w:val="0"/>
        </w:numPr>
        <w:jc w:val="center"/>
        <w:rPr>
          <w:noProof/>
        </w:rPr>
      </w:pPr>
    </w:p>
    <w:p w14:paraId="35A403A7" w14:textId="77777777" w:rsidR="00184DC6" w:rsidRPr="00A161AC" w:rsidRDefault="00184DC6" w:rsidP="000C0576">
      <w:pPr>
        <w:pStyle w:val="Numberedlist"/>
        <w:numPr>
          <w:ilvl w:val="0"/>
          <w:numId w:val="0"/>
        </w:numPr>
        <w:jc w:val="center"/>
        <w:rPr>
          <w:noProof/>
        </w:rPr>
      </w:pPr>
    </w:p>
    <w:p w14:paraId="06769B0B" w14:textId="77777777" w:rsidR="00184DC6" w:rsidRPr="00A161AC" w:rsidRDefault="00184DC6" w:rsidP="000C0576">
      <w:pPr>
        <w:pStyle w:val="Numberedlist"/>
        <w:numPr>
          <w:ilvl w:val="0"/>
          <w:numId w:val="0"/>
        </w:numPr>
        <w:jc w:val="center"/>
        <w:rPr>
          <w:noProof/>
        </w:rPr>
      </w:pPr>
    </w:p>
    <w:p w14:paraId="587902DF" w14:textId="77777777" w:rsidR="00184DC6" w:rsidRPr="00A161AC" w:rsidRDefault="00184DC6" w:rsidP="000C0576">
      <w:pPr>
        <w:pStyle w:val="Numberedlist"/>
        <w:numPr>
          <w:ilvl w:val="0"/>
          <w:numId w:val="0"/>
        </w:numPr>
        <w:jc w:val="center"/>
        <w:rPr>
          <w:noProof/>
        </w:rPr>
      </w:pPr>
    </w:p>
    <w:p w14:paraId="2496829C" w14:textId="77777777" w:rsidR="00184DC6" w:rsidRPr="00A161AC" w:rsidRDefault="00184DC6" w:rsidP="000C0576">
      <w:pPr>
        <w:pStyle w:val="Numberedlist"/>
        <w:numPr>
          <w:ilvl w:val="0"/>
          <w:numId w:val="0"/>
        </w:numPr>
        <w:jc w:val="center"/>
        <w:rPr>
          <w:noProof/>
        </w:rPr>
      </w:pPr>
    </w:p>
    <w:p w14:paraId="2CBE2644" w14:textId="77777777" w:rsidR="00184DC6" w:rsidRPr="00A161AC" w:rsidRDefault="00184DC6" w:rsidP="000C0576">
      <w:pPr>
        <w:pStyle w:val="Numberedlist"/>
        <w:numPr>
          <w:ilvl w:val="0"/>
          <w:numId w:val="0"/>
        </w:numPr>
        <w:jc w:val="center"/>
        <w:rPr>
          <w:noProof/>
        </w:rPr>
      </w:pPr>
    </w:p>
    <w:p w14:paraId="382B82A3" w14:textId="77777777" w:rsidR="00184DC6" w:rsidRPr="00A161AC" w:rsidRDefault="00184DC6" w:rsidP="000C0576">
      <w:pPr>
        <w:pStyle w:val="Numberedlist"/>
        <w:numPr>
          <w:ilvl w:val="0"/>
          <w:numId w:val="0"/>
        </w:numPr>
        <w:jc w:val="center"/>
        <w:rPr>
          <w:noProof/>
        </w:rPr>
      </w:pPr>
    </w:p>
    <w:p w14:paraId="38E4B523" w14:textId="77777777" w:rsidR="00184DC6" w:rsidRPr="00A161AC" w:rsidRDefault="00184DC6" w:rsidP="000C0576">
      <w:pPr>
        <w:pStyle w:val="Numberedlist"/>
        <w:numPr>
          <w:ilvl w:val="0"/>
          <w:numId w:val="0"/>
        </w:numPr>
        <w:jc w:val="center"/>
        <w:rPr>
          <w:noProof/>
        </w:rPr>
      </w:pPr>
    </w:p>
    <w:p w14:paraId="2DBA8DD1" w14:textId="77777777" w:rsidR="00184DC6" w:rsidRPr="00A161AC" w:rsidRDefault="00184DC6" w:rsidP="000C0576">
      <w:pPr>
        <w:pStyle w:val="Numberedlist"/>
        <w:numPr>
          <w:ilvl w:val="0"/>
          <w:numId w:val="0"/>
        </w:numPr>
        <w:jc w:val="center"/>
        <w:rPr>
          <w:noProof/>
        </w:rPr>
      </w:pPr>
    </w:p>
    <w:p w14:paraId="588EF9E6" w14:textId="77777777" w:rsidR="00184DC6" w:rsidRPr="00A161AC" w:rsidRDefault="00184DC6" w:rsidP="000C0576">
      <w:pPr>
        <w:pStyle w:val="Numberedlist"/>
        <w:numPr>
          <w:ilvl w:val="0"/>
          <w:numId w:val="0"/>
        </w:numPr>
        <w:jc w:val="center"/>
        <w:rPr>
          <w:noProof/>
        </w:rPr>
      </w:pPr>
    </w:p>
    <w:p w14:paraId="5E96E04B" w14:textId="77777777" w:rsidR="00184DC6" w:rsidRPr="00A161AC" w:rsidRDefault="00184DC6" w:rsidP="000C0576">
      <w:pPr>
        <w:pStyle w:val="Numberedlist"/>
        <w:numPr>
          <w:ilvl w:val="0"/>
          <w:numId w:val="0"/>
        </w:numPr>
        <w:jc w:val="center"/>
        <w:rPr>
          <w:noProof/>
        </w:rPr>
      </w:pPr>
    </w:p>
    <w:p w14:paraId="4F9D1474" w14:textId="77777777" w:rsidR="00184DC6" w:rsidRPr="00A161AC" w:rsidRDefault="00184DC6" w:rsidP="000C0576">
      <w:pPr>
        <w:pStyle w:val="Numberedlist"/>
        <w:numPr>
          <w:ilvl w:val="0"/>
          <w:numId w:val="0"/>
        </w:numPr>
        <w:jc w:val="center"/>
        <w:rPr>
          <w:noProof/>
        </w:rPr>
      </w:pPr>
    </w:p>
    <w:p w14:paraId="319D1C4A" w14:textId="5D27816D" w:rsidR="00FF4D60" w:rsidRPr="00A161AC" w:rsidRDefault="00FF4D60" w:rsidP="000C0576">
      <w:pPr>
        <w:pStyle w:val="Numberedlist"/>
        <w:numPr>
          <w:ilvl w:val="0"/>
          <w:numId w:val="0"/>
        </w:numPr>
        <w:jc w:val="center"/>
      </w:pPr>
    </w:p>
    <w:p w14:paraId="0EC8245A" w14:textId="77777777" w:rsidR="0076274B" w:rsidRPr="00A161AC" w:rsidRDefault="0076274B" w:rsidP="00BF7F12">
      <w:pPr>
        <w:pStyle w:val="Numberedlist"/>
        <w:numPr>
          <w:ilvl w:val="0"/>
          <w:numId w:val="0"/>
        </w:numPr>
        <w:spacing w:line="240" w:lineRule="auto"/>
        <w:ind w:left="284"/>
        <w:jc w:val="both"/>
        <w:rPr>
          <w:sz w:val="20"/>
          <w:szCs w:val="20"/>
        </w:rPr>
      </w:pPr>
    </w:p>
    <w:p w14:paraId="11523371" w14:textId="77777777" w:rsidR="0076274B" w:rsidRPr="00A161AC" w:rsidRDefault="0076274B" w:rsidP="00BF7F12">
      <w:pPr>
        <w:pStyle w:val="Numberedlist"/>
        <w:numPr>
          <w:ilvl w:val="0"/>
          <w:numId w:val="0"/>
        </w:numPr>
        <w:spacing w:line="240" w:lineRule="auto"/>
        <w:ind w:left="284"/>
        <w:jc w:val="both"/>
        <w:rPr>
          <w:sz w:val="20"/>
          <w:szCs w:val="20"/>
        </w:rPr>
      </w:pPr>
    </w:p>
    <w:p w14:paraId="3404B07B" w14:textId="77777777" w:rsidR="0076274B" w:rsidRPr="00A161AC" w:rsidRDefault="0076274B" w:rsidP="00BF7F12">
      <w:pPr>
        <w:pStyle w:val="Numberedlist"/>
        <w:numPr>
          <w:ilvl w:val="0"/>
          <w:numId w:val="0"/>
        </w:numPr>
        <w:spacing w:line="240" w:lineRule="auto"/>
        <w:ind w:left="284"/>
        <w:jc w:val="both"/>
        <w:rPr>
          <w:sz w:val="20"/>
          <w:szCs w:val="20"/>
        </w:rPr>
      </w:pPr>
    </w:p>
    <w:p w14:paraId="4AD5E824" w14:textId="198C3CC9" w:rsidR="00BF7F12" w:rsidRPr="00A161AC" w:rsidRDefault="00FF4D60" w:rsidP="00BF7F12">
      <w:pPr>
        <w:pStyle w:val="Numberedlist"/>
        <w:numPr>
          <w:ilvl w:val="0"/>
          <w:numId w:val="0"/>
        </w:numPr>
        <w:spacing w:line="240" w:lineRule="auto"/>
        <w:ind w:left="284"/>
        <w:jc w:val="both"/>
        <w:rPr>
          <w:sz w:val="20"/>
          <w:szCs w:val="20"/>
        </w:rPr>
      </w:pPr>
      <w:r w:rsidRPr="00A161AC">
        <w:rPr>
          <w:sz w:val="20"/>
          <w:szCs w:val="20"/>
        </w:rPr>
        <w:t xml:space="preserve">Figure </w:t>
      </w:r>
      <w:r w:rsidR="00B0060C" w:rsidRPr="00A161AC">
        <w:rPr>
          <w:sz w:val="20"/>
          <w:szCs w:val="20"/>
        </w:rPr>
        <w:t>4</w:t>
      </w:r>
      <w:r w:rsidRPr="00A161AC">
        <w:rPr>
          <w:sz w:val="20"/>
          <w:szCs w:val="20"/>
        </w:rPr>
        <w:t>: Metrics for each organisation type to assess their contribution to NHS system objectives</w:t>
      </w:r>
      <w:r w:rsidR="00B46B27" w:rsidRPr="00A161AC">
        <w:rPr>
          <w:sz w:val="20"/>
          <w:szCs w:val="20"/>
        </w:rPr>
        <w:t xml:space="preserve"> </w:t>
      </w:r>
      <w:r w:rsidR="00082BC5" w:rsidRPr="00A161AC">
        <w:rPr>
          <w:sz w:val="20"/>
          <w:szCs w:val="20"/>
        </w:rPr>
        <w:t xml:space="preserve">as </w:t>
      </w:r>
      <w:r w:rsidR="00B46B27" w:rsidRPr="00A161AC">
        <w:rPr>
          <w:sz w:val="20"/>
          <w:szCs w:val="20"/>
        </w:rPr>
        <w:t xml:space="preserve">set out in the </w:t>
      </w:r>
      <w:r w:rsidR="00082BC5" w:rsidRPr="00A161AC">
        <w:rPr>
          <w:sz w:val="20"/>
          <w:szCs w:val="20"/>
        </w:rPr>
        <w:t xml:space="preserve">NHS Oversight metrics document (updated annually to reflect </w:t>
      </w:r>
      <w:r w:rsidR="0018582B" w:rsidRPr="00A161AC">
        <w:rPr>
          <w:sz w:val="20"/>
          <w:szCs w:val="20"/>
        </w:rPr>
        <w:t>the latest priorities)</w:t>
      </w:r>
    </w:p>
    <w:p w14:paraId="167C5F4F" w14:textId="7D749D4E" w:rsidR="002502D0" w:rsidRPr="00A161AC" w:rsidRDefault="467A8878" w:rsidP="00667511">
      <w:pPr>
        <w:pStyle w:val="Numberedlist"/>
        <w:spacing w:before="300" w:after="0"/>
        <w:ind w:left="714" w:hanging="357"/>
      </w:pPr>
      <w:r w:rsidRPr="00A161AC">
        <w:lastRenderedPageBreak/>
        <w:t xml:space="preserve">The </w:t>
      </w:r>
      <w:r w:rsidR="00350FB6" w:rsidRPr="00A161AC">
        <w:t xml:space="preserve">annual </w:t>
      </w:r>
      <w:r w:rsidRPr="00A161AC">
        <w:t xml:space="preserve">oversight process </w:t>
      </w:r>
      <w:r w:rsidR="004202F3" w:rsidRPr="00A161AC">
        <w:t>for ICBs and providers</w:t>
      </w:r>
      <w:r w:rsidRPr="00A161AC">
        <w:t xml:space="preserve"> is </w:t>
      </w:r>
      <w:r w:rsidR="00350FB6" w:rsidRPr="00A161AC">
        <w:t>summarised</w:t>
      </w:r>
      <w:r w:rsidRPr="00A161AC">
        <w:t xml:space="preserve"> </w:t>
      </w:r>
      <w:r w:rsidR="00511EEB" w:rsidRPr="00A161AC">
        <w:t xml:space="preserve">in Figure </w:t>
      </w:r>
      <w:r w:rsidR="00B0060C" w:rsidRPr="00A161AC">
        <w:t>5</w:t>
      </w:r>
      <w:r w:rsidR="00350FB6" w:rsidRPr="00A161AC">
        <w:t xml:space="preserve"> below</w:t>
      </w:r>
    </w:p>
    <w:p w14:paraId="6226A7DD" w14:textId="7E0BFD5B" w:rsidR="467A8878" w:rsidRPr="00A161AC" w:rsidRDefault="00E31639" w:rsidP="002502D0">
      <w:pPr>
        <w:pStyle w:val="Numberedlist"/>
        <w:numPr>
          <w:ilvl w:val="0"/>
          <w:numId w:val="0"/>
        </w:numPr>
        <w:spacing w:after="0"/>
        <w:ind w:left="714" w:hanging="357"/>
      </w:pPr>
      <w:r>
        <w:rPr>
          <w:noProof/>
          <w:sz w:val="20"/>
          <w:szCs w:val="20"/>
        </w:rPr>
        <w:drawing>
          <wp:inline distT="0" distB="0" distL="0" distR="0" wp14:anchorId="2D038080" wp14:editId="17FD63BB">
            <wp:extent cx="9395460" cy="5483658"/>
            <wp:effectExtent l="0" t="0" r="0" b="3175"/>
            <wp:docPr id="1206088161" name="Picture 7" descr="This diagram describes the annual cycle of oversight and assessment activities for ICBs and provid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88161" name="Picture 7" descr="This diagram describes the annual cycle of oversight and assessment activities for ICBs and providers. "/>
                    <pic:cNvPicPr>
                      <a:picLocks noChangeAspect="1" noChangeArrowheads="1"/>
                    </pic:cNvPicPr>
                  </pic:nvPicPr>
                  <pic:blipFill rotWithShape="1">
                    <a:blip r:embed="rId35">
                      <a:extLst>
                        <a:ext uri="{28A0092B-C50C-407E-A947-70E740481C1C}">
                          <a14:useLocalDpi xmlns:a14="http://schemas.microsoft.com/office/drawing/2010/main" val="0"/>
                        </a:ext>
                      </a:extLst>
                    </a:blip>
                    <a:srcRect l="1354" t="2963" r="5844" b="741"/>
                    <a:stretch/>
                  </pic:blipFill>
                  <pic:spPr bwMode="auto">
                    <a:xfrm>
                      <a:off x="0" y="0"/>
                      <a:ext cx="9395460" cy="5483658"/>
                    </a:xfrm>
                    <a:prstGeom prst="rect">
                      <a:avLst/>
                    </a:prstGeom>
                    <a:noFill/>
                    <a:ln>
                      <a:noFill/>
                    </a:ln>
                    <a:extLst>
                      <a:ext uri="{53640926-AAD7-44D8-BBD7-CCE9431645EC}">
                        <a14:shadowObscured xmlns:a14="http://schemas.microsoft.com/office/drawing/2010/main"/>
                      </a:ext>
                    </a:extLst>
                  </pic:spPr>
                </pic:pic>
              </a:graphicData>
            </a:graphic>
          </wp:inline>
        </w:drawing>
      </w:r>
    </w:p>
    <w:p w14:paraId="61166A49" w14:textId="77777777" w:rsidR="467A8878" w:rsidRPr="00A161AC" w:rsidRDefault="00CD68A9" w:rsidP="256585A2">
      <w:pPr>
        <w:pStyle w:val="Numberedlist"/>
        <w:numPr>
          <w:ilvl w:val="0"/>
          <w:numId w:val="0"/>
        </w:numPr>
        <w:rPr>
          <w:sz w:val="20"/>
          <w:szCs w:val="20"/>
        </w:rPr>
      </w:pPr>
      <w:r w:rsidRPr="00A161AC">
        <w:rPr>
          <w:sz w:val="20"/>
          <w:szCs w:val="20"/>
        </w:rPr>
        <w:t xml:space="preserve">Figure </w:t>
      </w:r>
      <w:r w:rsidR="00B0060C" w:rsidRPr="00A161AC">
        <w:rPr>
          <w:sz w:val="20"/>
          <w:szCs w:val="20"/>
        </w:rPr>
        <w:t>5</w:t>
      </w:r>
      <w:r w:rsidRPr="00A161AC">
        <w:rPr>
          <w:sz w:val="20"/>
          <w:szCs w:val="20"/>
        </w:rPr>
        <w:t xml:space="preserve">: overall oversight </w:t>
      </w:r>
      <w:r w:rsidR="00BB46C3" w:rsidRPr="00A161AC">
        <w:rPr>
          <w:sz w:val="20"/>
          <w:szCs w:val="20"/>
        </w:rPr>
        <w:t>eleme</w:t>
      </w:r>
      <w:r w:rsidR="002502D0" w:rsidRPr="00A161AC">
        <w:rPr>
          <w:sz w:val="20"/>
          <w:szCs w:val="20"/>
        </w:rPr>
        <w:t>nts</w:t>
      </w:r>
    </w:p>
    <w:p w14:paraId="396E0909" w14:textId="02EBEE82" w:rsidR="0073655F" w:rsidRPr="00D809CF" w:rsidRDefault="0073655F" w:rsidP="00A161AC">
      <w:pPr>
        <w:pStyle w:val="Numberedlist"/>
        <w:numPr>
          <w:ilvl w:val="0"/>
          <w:numId w:val="0"/>
        </w:numPr>
      </w:pPr>
      <w:r w:rsidRPr="00D809CF">
        <w:lastRenderedPageBreak/>
        <w:t>Figure 5 sets out a summary of the oversight and assessment approach on a single page.</w:t>
      </w:r>
      <w:r w:rsidR="000416AC" w:rsidRPr="00D809CF">
        <w:t xml:space="preserve"> This includes both the ICB and Provider </w:t>
      </w:r>
      <w:r w:rsidR="004A1294" w:rsidRPr="00D809CF">
        <w:t>quarterly</w:t>
      </w:r>
      <w:r w:rsidR="000416AC" w:rsidRPr="00D809CF">
        <w:t xml:space="preserve"> </w:t>
      </w:r>
      <w:r w:rsidR="00BE31E8" w:rsidRPr="00D809CF">
        <w:t>delivery segmentation process</w:t>
      </w:r>
      <w:r w:rsidR="00A411A2" w:rsidRPr="00D809CF">
        <w:t xml:space="preserve">, </w:t>
      </w:r>
      <w:r w:rsidR="004A1294" w:rsidRPr="00D809CF">
        <w:t>(</w:t>
      </w:r>
      <w:r w:rsidR="00A411A2" w:rsidRPr="00D809CF">
        <w:t xml:space="preserve">segmentation </w:t>
      </w:r>
      <w:r w:rsidR="004A1294" w:rsidRPr="00D809CF">
        <w:t>will help identify where targeted support may be needed), and</w:t>
      </w:r>
      <w:r w:rsidR="00394E13" w:rsidRPr="00D809CF">
        <w:t xml:space="preserve"> the ICB capability </w:t>
      </w:r>
      <w:r w:rsidR="00356F30" w:rsidRPr="00D809CF">
        <w:t>assessment and annual performance assessment process</w:t>
      </w:r>
      <w:r w:rsidR="004A1294" w:rsidRPr="00D809CF">
        <w:t xml:space="preserve">. </w:t>
      </w:r>
      <w:r w:rsidR="00130FC6">
        <w:br/>
      </w:r>
    </w:p>
    <w:p w14:paraId="4D5D606E" w14:textId="77777777" w:rsidR="0073655F" w:rsidRPr="00D809CF" w:rsidRDefault="0073655F" w:rsidP="00A161AC">
      <w:pPr>
        <w:pStyle w:val="Numberedlist"/>
        <w:numPr>
          <w:ilvl w:val="0"/>
          <w:numId w:val="44"/>
        </w:numPr>
        <w:rPr>
          <w:b/>
          <w:bCs/>
        </w:rPr>
      </w:pPr>
      <w:r w:rsidRPr="00D809CF">
        <w:rPr>
          <w:b/>
          <w:bCs/>
        </w:rPr>
        <w:t>Annual oversight process for ICBs and providers:</w:t>
      </w:r>
    </w:p>
    <w:p w14:paraId="124944B7" w14:textId="6C93AA90" w:rsidR="0073655F" w:rsidRPr="00D809CF" w:rsidRDefault="0073655F" w:rsidP="00A161AC">
      <w:pPr>
        <w:pStyle w:val="Numberedlist"/>
        <w:numPr>
          <w:ilvl w:val="1"/>
          <w:numId w:val="44"/>
        </w:numPr>
      </w:pPr>
      <w:r w:rsidRPr="00D809CF">
        <w:t xml:space="preserve">In Q1, ICBs submit their Joint Forward Plans, Providers submit their </w:t>
      </w:r>
      <w:r w:rsidR="000D1166">
        <w:t xml:space="preserve">quarterly </w:t>
      </w:r>
      <w:r w:rsidRPr="00D809CF">
        <w:t>self-certifications and annual plans, and in April, NHSE publishes segmentation for ICBs and Providers for previous quarter following moderation</w:t>
      </w:r>
    </w:p>
    <w:p w14:paraId="376D7E95" w14:textId="3029920C" w:rsidR="000D1166" w:rsidRDefault="0073655F" w:rsidP="00A161AC">
      <w:pPr>
        <w:pStyle w:val="Numberedlist"/>
        <w:numPr>
          <w:ilvl w:val="1"/>
          <w:numId w:val="44"/>
        </w:numPr>
      </w:pPr>
      <w:r w:rsidRPr="00D809CF">
        <w:t xml:space="preserve">In Q2 July, </w:t>
      </w:r>
      <w:r w:rsidR="000D1166" w:rsidRPr="00CA7BA4">
        <w:t xml:space="preserve">Providers submit their </w:t>
      </w:r>
      <w:r w:rsidR="000D1166">
        <w:t xml:space="preserve">quarterly </w:t>
      </w:r>
      <w:r w:rsidR="000D1166" w:rsidRPr="00CA7BA4">
        <w:t xml:space="preserve">self-certifications </w:t>
      </w:r>
      <w:r w:rsidR="000D1166">
        <w:t xml:space="preserve">and </w:t>
      </w:r>
      <w:r w:rsidRPr="00D809CF">
        <w:t>NHSE publishes segmentation for ICBs and Providers for previous quarter following moderation</w:t>
      </w:r>
      <w:r w:rsidR="000D1166">
        <w:t>,</w:t>
      </w:r>
      <w:r w:rsidRPr="00D809CF">
        <w:t xml:space="preserve"> </w:t>
      </w:r>
      <w:r w:rsidR="000D1166" w:rsidRPr="00307441">
        <w:t>NHSE national moderation process</w:t>
      </w:r>
      <w:r w:rsidR="000D1166">
        <w:t xml:space="preserve"> takes place</w:t>
      </w:r>
      <w:r w:rsidR="000D1166" w:rsidRPr="00307441">
        <w:t xml:space="preserve"> to agree and publish ICB capability ratings and NHSE also publishes ICB performance assessments.</w:t>
      </w:r>
    </w:p>
    <w:p w14:paraId="1FDDD169" w14:textId="3842BA31" w:rsidR="0073655F" w:rsidRPr="00D809CF" w:rsidRDefault="000D1166" w:rsidP="00A161AC">
      <w:pPr>
        <w:pStyle w:val="Numberedlist"/>
        <w:numPr>
          <w:ilvl w:val="1"/>
          <w:numId w:val="44"/>
        </w:numPr>
      </w:pPr>
      <w:r>
        <w:t xml:space="preserve">In Q3, </w:t>
      </w:r>
      <w:r w:rsidRPr="00CA7BA4">
        <w:t xml:space="preserve">Providers submit their </w:t>
      </w:r>
      <w:r>
        <w:t xml:space="preserve">quarterly </w:t>
      </w:r>
      <w:r w:rsidRPr="00CA7BA4">
        <w:t>self-certification</w:t>
      </w:r>
      <w:r>
        <w:t>s,</w:t>
      </w:r>
      <w:r w:rsidR="0073655F" w:rsidRPr="00D809CF">
        <w:t xml:space="preserve"> NHSE publishes segmentation for ICBs and Providers for previous quarter following moderation</w:t>
      </w:r>
    </w:p>
    <w:p w14:paraId="1BB77413" w14:textId="72EDBDA5" w:rsidR="0073655F" w:rsidRPr="00D809CF" w:rsidRDefault="0073655F" w:rsidP="00A161AC">
      <w:pPr>
        <w:pStyle w:val="Numberedlist"/>
        <w:numPr>
          <w:ilvl w:val="1"/>
          <w:numId w:val="44"/>
        </w:numPr>
      </w:pPr>
      <w:r w:rsidRPr="00D809CF">
        <w:t>In Q</w:t>
      </w:r>
      <w:r w:rsidR="000D1166">
        <w:t>4</w:t>
      </w:r>
      <w:r w:rsidRPr="00D809CF">
        <w:t xml:space="preserve"> January, </w:t>
      </w:r>
      <w:r w:rsidR="000D1166" w:rsidRPr="00CA7BA4">
        <w:t xml:space="preserve">Providers submit their </w:t>
      </w:r>
      <w:r w:rsidR="000D1166">
        <w:t xml:space="preserve">quarterly </w:t>
      </w:r>
      <w:r w:rsidR="000D1166" w:rsidRPr="00CA7BA4">
        <w:t>self-certifications</w:t>
      </w:r>
      <w:r w:rsidR="000D1166">
        <w:t xml:space="preserve">, </w:t>
      </w:r>
      <w:r w:rsidRPr="00D809CF">
        <w:t>NHSE publishes segmentation for ICBs and Providers for previous quarter following moderation</w:t>
      </w:r>
    </w:p>
    <w:p w14:paraId="67ECC8F4" w14:textId="77777777" w:rsidR="0073655F" w:rsidRPr="00D809CF" w:rsidRDefault="0073655F" w:rsidP="00A161AC">
      <w:pPr>
        <w:pStyle w:val="Numberedlist"/>
        <w:numPr>
          <w:ilvl w:val="0"/>
          <w:numId w:val="0"/>
        </w:numPr>
        <w:ind w:left="3195" w:hanging="360"/>
      </w:pPr>
    </w:p>
    <w:p w14:paraId="01E6207F" w14:textId="77777777" w:rsidR="0073655F" w:rsidRPr="00D809CF" w:rsidRDefault="0073655F" w:rsidP="00A161AC">
      <w:pPr>
        <w:pStyle w:val="Numberedlist"/>
        <w:numPr>
          <w:ilvl w:val="0"/>
          <w:numId w:val="44"/>
        </w:numPr>
        <w:rPr>
          <w:b/>
          <w:bCs/>
        </w:rPr>
      </w:pPr>
      <w:r w:rsidRPr="00D809CF">
        <w:rPr>
          <w:b/>
          <w:bCs/>
        </w:rPr>
        <w:t>ICB quarterly delivery segmentation process:</w:t>
      </w:r>
    </w:p>
    <w:p w14:paraId="7479522B" w14:textId="1E3FA6C6" w:rsidR="0073655F" w:rsidRPr="00D809CF" w:rsidRDefault="0073655F" w:rsidP="00D809CF">
      <w:pPr>
        <w:pStyle w:val="Numberedlist"/>
        <w:numPr>
          <w:ilvl w:val="1"/>
          <w:numId w:val="47"/>
        </w:numPr>
      </w:pPr>
      <w:r w:rsidRPr="00D809CF">
        <w:t>Performance on key metrics generates indicative delivery score (1-4, where 1 is best)</w:t>
      </w:r>
    </w:p>
    <w:p w14:paraId="6D523801" w14:textId="25914699" w:rsidR="0073655F" w:rsidRPr="00D809CF" w:rsidRDefault="00130FC6" w:rsidP="00D809CF">
      <w:pPr>
        <w:pStyle w:val="Numberedlist"/>
        <w:numPr>
          <w:ilvl w:val="1"/>
          <w:numId w:val="47"/>
        </w:numPr>
      </w:pPr>
      <w:r>
        <w:t>NHSE will c</w:t>
      </w:r>
      <w:r w:rsidR="0073655F" w:rsidRPr="00D809CF">
        <w:t>onsider overall system delivery (provider and ICB scores and segments will be linked so that access or financial issues across the overall NHS system will be reflected in each) and adjust indicative score, if necessary</w:t>
      </w:r>
    </w:p>
    <w:p w14:paraId="063B5D00" w14:textId="0EF189DA" w:rsidR="0073655F" w:rsidRPr="00D809CF" w:rsidRDefault="00130FC6" w:rsidP="00D809CF">
      <w:pPr>
        <w:pStyle w:val="Numberedlist"/>
        <w:numPr>
          <w:ilvl w:val="1"/>
          <w:numId w:val="47"/>
        </w:numPr>
      </w:pPr>
      <w:r>
        <w:t>NHSE will c</w:t>
      </w:r>
      <w:r w:rsidR="0073655F" w:rsidRPr="00D809CF">
        <w:t xml:space="preserve">onsider ICB capability and adjust segment, if necessary to generate a provisional delivery segment (where an ICB's moderated capability rating is 'insufficient progress' the ICB's segment is </w:t>
      </w:r>
      <w:r>
        <w:t>deteriorated</w:t>
      </w:r>
      <w:r w:rsidRPr="00D809CF">
        <w:t xml:space="preserve"> </w:t>
      </w:r>
      <w:r w:rsidR="0073655F" w:rsidRPr="00D809CF">
        <w:t xml:space="preserve">by 1 (unless already a 4) and where the capability is 'Excelling' or 'Achieving' the ICB's segmented is </w:t>
      </w:r>
      <w:r>
        <w:t>improved</w:t>
      </w:r>
      <w:r w:rsidRPr="00D809CF">
        <w:t xml:space="preserve"> </w:t>
      </w:r>
      <w:r w:rsidR="0073655F" w:rsidRPr="00D809CF">
        <w:t>by 1 (unless already a 1))</w:t>
      </w:r>
    </w:p>
    <w:p w14:paraId="2E6B8C5D" w14:textId="31046FAD" w:rsidR="0073655F" w:rsidRPr="00D809CF" w:rsidRDefault="0073655F" w:rsidP="00D809CF">
      <w:pPr>
        <w:pStyle w:val="Numberedlist"/>
        <w:numPr>
          <w:ilvl w:val="1"/>
          <w:numId w:val="47"/>
        </w:numPr>
      </w:pPr>
      <w:r w:rsidRPr="00D809CF">
        <w:t xml:space="preserve">NHSE and the ICB to discuss the provisional segment for each provider and NHSE to reach a final segmentation decision for publication </w:t>
      </w:r>
    </w:p>
    <w:p w14:paraId="6EF48A93" w14:textId="77777777" w:rsidR="0073655F" w:rsidRPr="00D809CF" w:rsidRDefault="0073655F" w:rsidP="00A161AC">
      <w:pPr>
        <w:pStyle w:val="Numberedlist"/>
        <w:numPr>
          <w:ilvl w:val="0"/>
          <w:numId w:val="0"/>
        </w:numPr>
        <w:ind w:left="720"/>
      </w:pPr>
    </w:p>
    <w:p w14:paraId="36750B7C" w14:textId="77777777" w:rsidR="0073655F" w:rsidRPr="00D809CF" w:rsidRDefault="0073655F" w:rsidP="00A161AC">
      <w:pPr>
        <w:pStyle w:val="Numberedlist"/>
        <w:numPr>
          <w:ilvl w:val="0"/>
          <w:numId w:val="44"/>
        </w:numPr>
        <w:rPr>
          <w:b/>
          <w:bCs/>
        </w:rPr>
      </w:pPr>
      <w:r w:rsidRPr="00D809CF">
        <w:rPr>
          <w:b/>
          <w:bCs/>
        </w:rPr>
        <w:t>Provider quarterly delivery segmentation process:</w:t>
      </w:r>
    </w:p>
    <w:p w14:paraId="4346650B" w14:textId="4CE6CCA1" w:rsidR="0073655F" w:rsidRPr="00D809CF" w:rsidRDefault="0073655F" w:rsidP="00D809CF">
      <w:pPr>
        <w:pStyle w:val="Numberedlist"/>
        <w:numPr>
          <w:ilvl w:val="1"/>
          <w:numId w:val="48"/>
        </w:numPr>
      </w:pPr>
      <w:r w:rsidRPr="00D809CF">
        <w:t>Performance on key metrics generates indicative delivery score (1-4, where 1 is best)</w:t>
      </w:r>
    </w:p>
    <w:p w14:paraId="7E9F3E65" w14:textId="63423BB9" w:rsidR="0073655F" w:rsidRPr="00D809CF" w:rsidRDefault="00130FC6" w:rsidP="00D809CF">
      <w:pPr>
        <w:pStyle w:val="Numberedlist"/>
        <w:numPr>
          <w:ilvl w:val="1"/>
          <w:numId w:val="48"/>
        </w:numPr>
      </w:pPr>
      <w:r>
        <w:t>NHSE will c</w:t>
      </w:r>
      <w:r w:rsidR="0073655F" w:rsidRPr="00D809CF">
        <w:t>onsider overall system delivery (provider and ICB scores and segments will be linked so that access or financial issues across the overall NHS system will be reflected in each) and adjust indicative score, if necessary</w:t>
      </w:r>
    </w:p>
    <w:p w14:paraId="3E299C02" w14:textId="54D60DEC" w:rsidR="0073655F" w:rsidRPr="00D809CF" w:rsidRDefault="00130FC6" w:rsidP="00D809CF">
      <w:pPr>
        <w:pStyle w:val="Numberedlist"/>
        <w:numPr>
          <w:ilvl w:val="1"/>
          <w:numId w:val="48"/>
        </w:numPr>
      </w:pPr>
      <w:r>
        <w:t>NHSE will c</w:t>
      </w:r>
      <w:r w:rsidR="0073655F" w:rsidRPr="00D809CF">
        <w:t xml:space="preserve">onsider </w:t>
      </w:r>
      <w:r w:rsidR="00276751" w:rsidRPr="00D809CF">
        <w:t>pr</w:t>
      </w:r>
      <w:r w:rsidR="00841B06" w:rsidRPr="00D809CF">
        <w:t>ovider</w:t>
      </w:r>
      <w:r w:rsidR="00276751" w:rsidRPr="00D809CF">
        <w:t xml:space="preserve"> </w:t>
      </w:r>
      <w:r w:rsidR="0073655F" w:rsidRPr="00D809CF">
        <w:t>capability</w:t>
      </w:r>
      <w:r w:rsidR="00BE3CA8" w:rsidRPr="00D809CF">
        <w:t xml:space="preserve"> </w:t>
      </w:r>
      <w:r w:rsidR="0073655F" w:rsidRPr="00D809CF">
        <w:t>and adjust segment</w:t>
      </w:r>
      <w:r w:rsidR="00581849" w:rsidRPr="00D809CF">
        <w:t xml:space="preserve"> </w:t>
      </w:r>
      <w:r w:rsidRPr="004138B2">
        <w:t xml:space="preserve">if necessary to generate a provisional delivery segment </w:t>
      </w:r>
      <w:r w:rsidR="00BE3CA8" w:rsidRPr="00D809CF">
        <w:t xml:space="preserve">(where a provider’s capability rating is </w:t>
      </w:r>
      <w:r>
        <w:t>‘</w:t>
      </w:r>
      <w:r w:rsidR="00BE3CA8" w:rsidRPr="00D809CF">
        <w:t xml:space="preserve">Major concerns, its segment is </w:t>
      </w:r>
      <w:r>
        <w:t xml:space="preserve">deteriorated </w:t>
      </w:r>
      <w:r w:rsidR="00BE3CA8" w:rsidRPr="00D809CF">
        <w:t>by 1</w:t>
      </w:r>
      <w:r>
        <w:t xml:space="preserve"> unless it’s already a 4, where a provider’s capability rating is ‘No </w:t>
      </w:r>
      <w:proofErr w:type="spellStart"/>
      <w:r>
        <w:t>maternial</w:t>
      </w:r>
      <w:proofErr w:type="spellEnd"/>
      <w:r>
        <w:t xml:space="preserve"> concerns’, its segment is improved by 1 unless it’s already a 1)</w:t>
      </w:r>
    </w:p>
    <w:p w14:paraId="5D52C12E" w14:textId="59B9BF8B" w:rsidR="0073655F" w:rsidRDefault="0073655F" w:rsidP="00D809CF">
      <w:pPr>
        <w:pStyle w:val="Numberedlist"/>
        <w:numPr>
          <w:ilvl w:val="1"/>
          <w:numId w:val="48"/>
        </w:numPr>
      </w:pPr>
      <w:r w:rsidRPr="00D809CF">
        <w:t xml:space="preserve">NHSE and the ICB to discuss the provisional segment for each provider and NHSE to reach a final segmentation decision for publication </w:t>
      </w:r>
    </w:p>
    <w:p w14:paraId="4AC9F45A" w14:textId="77777777" w:rsidR="0073655F" w:rsidRPr="00D809CF" w:rsidRDefault="0073655F" w:rsidP="00A161AC">
      <w:pPr>
        <w:pStyle w:val="Numberedlist"/>
        <w:numPr>
          <w:ilvl w:val="0"/>
          <w:numId w:val="0"/>
        </w:numPr>
        <w:ind w:left="720"/>
      </w:pPr>
    </w:p>
    <w:p w14:paraId="40AFF717" w14:textId="510796D2" w:rsidR="0073655F" w:rsidRPr="00D809CF" w:rsidRDefault="00130FC6" w:rsidP="00A161AC">
      <w:pPr>
        <w:pStyle w:val="Numberedlist"/>
        <w:numPr>
          <w:ilvl w:val="0"/>
          <w:numId w:val="44"/>
        </w:numPr>
        <w:rPr>
          <w:b/>
          <w:bCs/>
        </w:rPr>
      </w:pPr>
      <w:r>
        <w:rPr>
          <w:b/>
          <w:bCs/>
        </w:rPr>
        <w:t>ICB annual assessment and capability assessment processes over quarters 1 and 2</w:t>
      </w:r>
    </w:p>
    <w:p w14:paraId="39A6F164" w14:textId="3B1874AB" w:rsidR="0073655F" w:rsidRPr="00D809CF" w:rsidRDefault="0073655F" w:rsidP="00A161AC">
      <w:pPr>
        <w:pStyle w:val="Numberedlist"/>
        <w:numPr>
          <w:ilvl w:val="1"/>
          <w:numId w:val="44"/>
        </w:numPr>
      </w:pPr>
      <w:r w:rsidRPr="00D809CF">
        <w:t xml:space="preserve">NHSE to review each ICB against six </w:t>
      </w:r>
      <w:r w:rsidR="00130FC6">
        <w:t>functional areas</w:t>
      </w:r>
      <w:r w:rsidR="00130FC6" w:rsidRPr="00D809CF">
        <w:t xml:space="preserve"> </w:t>
      </w:r>
      <w:r w:rsidRPr="00D809CF">
        <w:t xml:space="preserve">incorporating delivery data, i.e. strategy &amp; planning, arranging/provision of care, governance and people, securing learning and transformation, assuring performance, quality and delivery, and NHS leadership and partnership working </w:t>
      </w:r>
    </w:p>
    <w:p w14:paraId="54876078" w14:textId="3EC31170" w:rsidR="0073655F" w:rsidRPr="00D809CF" w:rsidRDefault="0073655F" w:rsidP="00A161AC">
      <w:pPr>
        <w:pStyle w:val="Numberedlist"/>
        <w:numPr>
          <w:ilvl w:val="1"/>
          <w:numId w:val="44"/>
        </w:numPr>
      </w:pPr>
      <w:r w:rsidRPr="00D809CF">
        <w:t xml:space="preserve">Incorporating ICB self-assessment, CQC views and 360 degree feedback from stakeholders, this information will be used to generate a capability rating i.e. 'insufficient progress', 'progressing', 'achieving', or 'excelling' </w:t>
      </w:r>
    </w:p>
    <w:p w14:paraId="688CBEF2" w14:textId="2F1B0AFA" w:rsidR="0073655F" w:rsidRPr="00D809CF" w:rsidRDefault="0073655F" w:rsidP="00A161AC">
      <w:pPr>
        <w:pStyle w:val="Numberedlist"/>
        <w:numPr>
          <w:ilvl w:val="1"/>
          <w:numId w:val="44"/>
        </w:numPr>
      </w:pPr>
      <w:r w:rsidRPr="00D809CF">
        <w:t>Rating</w:t>
      </w:r>
      <w:r w:rsidR="002F1B05" w:rsidRPr="00D809CF">
        <w:t>s</w:t>
      </w:r>
      <w:r w:rsidRPr="00D809CF">
        <w:t xml:space="preserve"> are moderated to ensure national consistency</w:t>
      </w:r>
      <w:r w:rsidR="006B28B7" w:rsidRPr="00D809CF">
        <w:t xml:space="preserve"> </w:t>
      </w:r>
    </w:p>
    <w:p w14:paraId="7A864492" w14:textId="061C9F37" w:rsidR="0073655F" w:rsidRPr="00D809CF" w:rsidRDefault="0073655F" w:rsidP="00A161AC">
      <w:pPr>
        <w:pStyle w:val="Numberedlist"/>
        <w:numPr>
          <w:ilvl w:val="1"/>
          <w:numId w:val="44"/>
        </w:numPr>
      </w:pPr>
      <w:r w:rsidRPr="00D809CF">
        <w:t xml:space="preserve">The ICB's capability rating will remain unchanged over the year barring exceptional circumstances, e.g. severe in-year deterioration on planned delivery, access, finance, or major concerns arising from the CQC's ICS assessment </w:t>
      </w:r>
    </w:p>
    <w:p w14:paraId="25BA64BA" w14:textId="3B80F7FB" w:rsidR="00246FDF" w:rsidRPr="00D809CF" w:rsidRDefault="0073655F" w:rsidP="00A161AC">
      <w:pPr>
        <w:pStyle w:val="Numberedlist"/>
        <w:numPr>
          <w:ilvl w:val="1"/>
          <w:numId w:val="44"/>
        </w:numPr>
      </w:pPr>
      <w:r w:rsidRPr="00D809CF">
        <w:t xml:space="preserve">NHSE has a </w:t>
      </w:r>
      <w:r w:rsidR="00246FDF" w:rsidRPr="00D809CF">
        <w:t>statutory requirement</w:t>
      </w:r>
      <w:r w:rsidRPr="00D809CF">
        <w:t xml:space="preserve"> to carry out an annual assessment of each ICB's performance against their legal responsibilities, including improving quality of care, involving local populations, reducing inequalities, and meeting financial requirements.</w:t>
      </w:r>
    </w:p>
    <w:p w14:paraId="0C017C25" w14:textId="2FD836CE" w:rsidR="0073655F" w:rsidRPr="00D809CF" w:rsidRDefault="0073655F" w:rsidP="00A161AC">
      <w:pPr>
        <w:pStyle w:val="Numberedlist"/>
        <w:numPr>
          <w:ilvl w:val="1"/>
          <w:numId w:val="44"/>
        </w:numPr>
      </w:pPr>
      <w:r w:rsidRPr="00D809CF">
        <w:t>The annual assessment will incorporate our views of ICB capability and delivery of NHS priorities</w:t>
      </w:r>
    </w:p>
    <w:p w14:paraId="30044885" w14:textId="77777777" w:rsidR="0073655F" w:rsidRPr="00D809CF" w:rsidRDefault="0073655F" w:rsidP="00A161AC">
      <w:pPr>
        <w:pStyle w:val="Numberedlist"/>
        <w:numPr>
          <w:ilvl w:val="0"/>
          <w:numId w:val="0"/>
        </w:numPr>
        <w:ind w:left="720"/>
      </w:pPr>
    </w:p>
    <w:p w14:paraId="2F5EEF2F" w14:textId="77777777" w:rsidR="0073655F" w:rsidRPr="00D809CF" w:rsidRDefault="0073655F" w:rsidP="00A161AC">
      <w:pPr>
        <w:pStyle w:val="Numberedlist"/>
        <w:numPr>
          <w:ilvl w:val="0"/>
          <w:numId w:val="44"/>
        </w:numPr>
        <w:rPr>
          <w:b/>
          <w:bCs/>
        </w:rPr>
      </w:pPr>
      <w:r w:rsidRPr="00D809CF">
        <w:rPr>
          <w:b/>
          <w:bCs/>
        </w:rPr>
        <w:t>Annual capability assessment process for Providers</w:t>
      </w:r>
    </w:p>
    <w:p w14:paraId="680AA1E2" w14:textId="14BB3F4D" w:rsidR="0073655F" w:rsidRPr="00D809CF" w:rsidRDefault="0073655F" w:rsidP="00A161AC">
      <w:pPr>
        <w:pStyle w:val="Numberedlist"/>
        <w:numPr>
          <w:ilvl w:val="1"/>
          <w:numId w:val="44"/>
        </w:numPr>
      </w:pPr>
      <w:r w:rsidRPr="00D809CF">
        <w:t>NHSE to consider provider capability incorporating providers' CQC well-led rating and relevant elements of CQC's ICS assessment (e.g. collaboration), issues arising from any third parties impacting on our view of capability and governance, and providers' track records against self-certifications, including the extent to which management teams are collaborating and delivering improvement</w:t>
      </w:r>
      <w:r w:rsidR="00130FC6">
        <w:t xml:space="preserve"> to generate a capability rating i.e. ‘No material concerns’, ‘Some concerns’, and ‘Major concerns’</w:t>
      </w:r>
    </w:p>
    <w:p w14:paraId="10A089B4" w14:textId="6E7824DE" w:rsidR="0073655F" w:rsidRDefault="0073655F" w:rsidP="00A161AC">
      <w:pPr>
        <w:pStyle w:val="Numberedlist"/>
        <w:numPr>
          <w:ilvl w:val="1"/>
          <w:numId w:val="44"/>
        </w:numPr>
      </w:pPr>
      <w:r w:rsidRPr="00D809CF">
        <w:t xml:space="preserve">NHSE will use these view to adjust the provider's delivery segment </w:t>
      </w:r>
    </w:p>
    <w:p w14:paraId="3530E1E0" w14:textId="77777777" w:rsidR="00130FC6" w:rsidRPr="00CA7BA4" w:rsidRDefault="00130FC6" w:rsidP="00130FC6">
      <w:pPr>
        <w:pStyle w:val="Numberedlist"/>
        <w:numPr>
          <w:ilvl w:val="1"/>
          <w:numId w:val="44"/>
        </w:numPr>
      </w:pPr>
      <w:r w:rsidRPr="00CA7BA4">
        <w:t xml:space="preserve">The </w:t>
      </w:r>
      <w:r>
        <w:t>provider’s</w:t>
      </w:r>
      <w:r w:rsidRPr="00CA7BA4">
        <w:t xml:space="preserve"> capability rating will remain unchanged over the year barring exceptional circumstances, e.g. severe in-year deterioration on planned delivery, access, finance, or major concerns arising from the CQC assessment</w:t>
      </w:r>
      <w:r>
        <w:t>s</w:t>
      </w:r>
      <w:r w:rsidRPr="00CA7BA4">
        <w:t xml:space="preserve"> </w:t>
      </w:r>
    </w:p>
    <w:p w14:paraId="6854F540" w14:textId="5B63B110" w:rsidR="00130FC6" w:rsidRPr="00D809CF" w:rsidRDefault="00130FC6" w:rsidP="00A161AC">
      <w:pPr>
        <w:pStyle w:val="Numberedlist"/>
        <w:numPr>
          <w:ilvl w:val="1"/>
          <w:numId w:val="44"/>
        </w:numPr>
        <w:sectPr w:rsidR="00130FC6" w:rsidRPr="00D809CF" w:rsidSect="006E32A3">
          <w:pgSz w:w="16838" w:h="11906" w:orient="landscape"/>
          <w:pgMar w:top="1021" w:right="1021" w:bottom="1021" w:left="1021" w:header="454" w:footer="556" w:gutter="0"/>
          <w:cols w:space="708"/>
          <w:docGrid w:linePitch="360"/>
        </w:sectPr>
      </w:pPr>
    </w:p>
    <w:p w14:paraId="16F88CBE" w14:textId="36B90118" w:rsidR="00FF4D60" w:rsidRPr="00A161AC" w:rsidRDefault="00FF4D60" w:rsidP="002502D0">
      <w:pPr>
        <w:pStyle w:val="h3numbered"/>
        <w:spacing w:after="120" w:line="360" w:lineRule="atLeast"/>
      </w:pPr>
      <w:bookmarkStart w:id="11" w:name="_Toc160636208"/>
      <w:bookmarkStart w:id="12" w:name="_Toc163574923"/>
      <w:r w:rsidRPr="00A161AC">
        <w:lastRenderedPageBreak/>
        <w:t>Monitoring</w:t>
      </w:r>
      <w:bookmarkEnd w:id="11"/>
      <w:bookmarkEnd w:id="12"/>
    </w:p>
    <w:p w14:paraId="583C1529" w14:textId="6E8358EC" w:rsidR="00FF4D60" w:rsidRPr="00A161AC" w:rsidRDefault="00FF4D60" w:rsidP="00B66072">
      <w:pPr>
        <w:pStyle w:val="Numberedlist"/>
        <w:ind w:left="709" w:hanging="425"/>
      </w:pPr>
      <w:r w:rsidRPr="00A161AC">
        <w:t xml:space="preserve">As part of NHS England’s oversight process, we monitor and gather insights across the oversight domains. The information collected and reviewed includes both quantitative data (including but not limited to the defined oversight metrics) and qualitative information. Qualitative information may include that derived from ICBs and providers as part of routine conversations, </w:t>
      </w:r>
      <w:r w:rsidR="00577F44" w:rsidRPr="00A161AC">
        <w:t xml:space="preserve">reports from other regulators such as the CQC including its upcoming ICS assessments, </w:t>
      </w:r>
      <w:r w:rsidRPr="00A161AC">
        <w:t xml:space="preserve">any formal reporting documents such as the outcomes of the System Quality Group, as well as other relevant information including that provided by third parties such as through 360-degree feedback, peer reviews, or formal publications/assessments. </w:t>
      </w:r>
    </w:p>
    <w:p w14:paraId="1404B252" w14:textId="77777777" w:rsidR="00FF4D60" w:rsidRPr="00A161AC" w:rsidRDefault="00FF4D60" w:rsidP="002502D0">
      <w:pPr>
        <w:pStyle w:val="Numberedlist"/>
        <w:numPr>
          <w:ilvl w:val="0"/>
          <w:numId w:val="0"/>
        </w:numPr>
        <w:spacing w:after="0"/>
        <w:ind w:left="714" w:hanging="357"/>
      </w:pPr>
    </w:p>
    <w:p w14:paraId="1339A0E6" w14:textId="77777777" w:rsidR="00FF4D60" w:rsidRPr="00A161AC" w:rsidRDefault="00FF4D60" w:rsidP="002502D0">
      <w:pPr>
        <w:pStyle w:val="Numberedlist"/>
        <w:spacing w:after="0"/>
        <w:ind w:left="714" w:hanging="357"/>
      </w:pPr>
      <w:r w:rsidRPr="00A161AC">
        <w:t xml:space="preserve">Alongside, we work with key regulators including CQC, the Health and Care Professions Council, the General Medical Council and the Nursing &amp; Midwifery Council through the national and regional Joint Strategic Oversight Group (JSOG) to provide a dedicated space for regulators to share intelligence and develop aligned approaches to support organisations. </w:t>
      </w:r>
    </w:p>
    <w:p w14:paraId="24DE585F" w14:textId="77777777" w:rsidR="00FF4D60" w:rsidRPr="00A161AC" w:rsidRDefault="00FF4D60" w:rsidP="002502D0">
      <w:pPr>
        <w:pStyle w:val="Numberedlist"/>
        <w:numPr>
          <w:ilvl w:val="0"/>
          <w:numId w:val="0"/>
        </w:numPr>
        <w:spacing w:after="0"/>
        <w:ind w:left="714" w:hanging="357"/>
      </w:pPr>
    </w:p>
    <w:p w14:paraId="6AD5935F" w14:textId="150AA9BF" w:rsidR="00FF4D60" w:rsidRPr="00A161AC" w:rsidRDefault="00FF4D60" w:rsidP="00D64356">
      <w:pPr>
        <w:pStyle w:val="Numberedlist"/>
        <w:spacing w:after="0"/>
        <w:ind w:left="714" w:hanging="357"/>
        <w:rPr>
          <w:rStyle w:val="BodyTextChar"/>
          <w:rFonts w:eastAsia="Times New Roman" w:cs="Times New Roman"/>
          <w:color w:val="000000"/>
        </w:rPr>
        <w:sectPr w:rsidR="00FF4D60" w:rsidRPr="00A161AC" w:rsidSect="006E32A3">
          <w:pgSz w:w="11906" w:h="16838"/>
          <w:pgMar w:top="1021" w:right="1021" w:bottom="1021" w:left="1021" w:header="454" w:footer="556" w:gutter="0"/>
          <w:cols w:space="708"/>
          <w:docGrid w:linePitch="360"/>
        </w:sectPr>
      </w:pPr>
      <w:r w:rsidRPr="00A161AC">
        <w:t xml:space="preserve">We hold regular review meetings with ICBs and, where appropriate, providers to discuss emerging issues and track progress against any agreed improvement plans. The expectations for the membership, scope, and frequency of these meetings are set out in Table </w:t>
      </w:r>
      <w:r w:rsidR="009A0D13" w:rsidRPr="00A161AC">
        <w:t>2</w:t>
      </w:r>
      <w:r w:rsidRPr="00A161AC">
        <w:t>. Ongoing regular meetings may be complemented by focused engagement and escalation where specific challenges emerge, or where an organisation is in the Recovery Support Programme</w:t>
      </w:r>
      <w:r w:rsidR="00052839" w:rsidRPr="00A161AC">
        <w:t>.</w:t>
      </w:r>
    </w:p>
    <w:p w14:paraId="1E839CF9" w14:textId="58479246" w:rsidR="00FF4D60" w:rsidRPr="00A161AC" w:rsidRDefault="00FF4D60" w:rsidP="00FF4D60">
      <w:pPr>
        <w:spacing w:after="0" w:line="240" w:lineRule="auto"/>
        <w:textboxTightWrap w:val="none"/>
        <w:rPr>
          <w:rStyle w:val="BodyTextChar"/>
          <w:sz w:val="22"/>
          <w:szCs w:val="22"/>
        </w:rPr>
      </w:pPr>
    </w:p>
    <w:tbl>
      <w:tblPr>
        <w:tblStyle w:val="TableGrid"/>
        <w:tblpPr w:leftFromText="180" w:rightFromText="180" w:vertAnchor="page" w:horzAnchor="margin" w:tblpXSpec="center" w:tblpY="1546"/>
        <w:tblW w:w="14311" w:type="dxa"/>
        <w:tblLayout w:type="fixed"/>
        <w:tblLook w:val="0420" w:firstRow="1" w:lastRow="0" w:firstColumn="0" w:lastColumn="0" w:noHBand="0" w:noVBand="1"/>
      </w:tblPr>
      <w:tblGrid>
        <w:gridCol w:w="7061"/>
        <w:gridCol w:w="7250"/>
      </w:tblGrid>
      <w:tr w:rsidR="000941B3" w:rsidRPr="00A161AC" w14:paraId="3B315DA7" w14:textId="77777777" w:rsidTr="00A161AC">
        <w:trPr>
          <w:trHeight w:val="273"/>
        </w:trPr>
        <w:tc>
          <w:tcPr>
            <w:tcW w:w="14311" w:type="dxa"/>
            <w:gridSpan w:val="2"/>
            <w:shd w:val="clear" w:color="auto" w:fill="003087" w:themeFill="accent1"/>
          </w:tcPr>
          <w:p w14:paraId="15716B62" w14:textId="3334A18E" w:rsidR="000941B3" w:rsidRPr="00A161AC" w:rsidRDefault="000941B3" w:rsidP="002502D0">
            <w:pPr>
              <w:spacing w:after="0" w:line="240" w:lineRule="auto"/>
              <w:textboxTightWrap w:val="none"/>
              <w:rPr>
                <w:rFonts w:asciiTheme="minorHAnsi" w:hAnsiTheme="minorHAnsi" w:cstheme="minorHAnsi"/>
                <w:b/>
                <w:bCs/>
                <w:color w:val="FFFFFF" w:themeColor="text1"/>
                <w:sz w:val="28"/>
                <w:szCs w:val="28"/>
              </w:rPr>
            </w:pPr>
            <w:r w:rsidRPr="00A161AC">
              <w:rPr>
                <w:rFonts w:asciiTheme="minorHAnsi" w:hAnsiTheme="minorHAnsi" w:cstheme="minorHAnsi"/>
                <w:b/>
                <w:bCs/>
                <w:color w:val="auto"/>
                <w:sz w:val="28"/>
                <w:szCs w:val="28"/>
              </w:rPr>
              <w:t>Scope</w:t>
            </w:r>
          </w:p>
        </w:tc>
      </w:tr>
      <w:tr w:rsidR="000941B3" w:rsidRPr="00A161AC" w14:paraId="6A8BA9B3" w14:textId="77777777" w:rsidTr="000941B3">
        <w:trPr>
          <w:trHeight w:val="3052"/>
        </w:trPr>
        <w:tc>
          <w:tcPr>
            <w:tcW w:w="7061" w:type="dxa"/>
          </w:tcPr>
          <w:p w14:paraId="7E498F43" w14:textId="6E02C405" w:rsidR="000941B3" w:rsidRPr="00A161AC" w:rsidRDefault="000941B3" w:rsidP="00B60A7E">
            <w:pPr>
              <w:spacing w:after="50" w:line="240" w:lineRule="auto"/>
              <w:textboxTightWrap w:val="none"/>
              <w:rPr>
                <w:rFonts w:asciiTheme="minorHAnsi" w:hAnsiTheme="minorHAnsi" w:cstheme="minorHAnsi"/>
                <w:b/>
                <w:bCs/>
                <w:color w:val="auto"/>
                <w:sz w:val="22"/>
                <w:szCs w:val="22"/>
              </w:rPr>
            </w:pPr>
            <w:r w:rsidRPr="00A161AC">
              <w:rPr>
                <w:rFonts w:asciiTheme="minorHAnsi" w:hAnsiTheme="minorHAnsi" w:cstheme="minorHAnsi"/>
                <w:b/>
                <w:bCs/>
                <w:color w:val="auto"/>
                <w:sz w:val="22"/>
                <w:szCs w:val="22"/>
              </w:rPr>
              <w:t>ICB</w:t>
            </w:r>
          </w:p>
          <w:p w14:paraId="636E6A57" w14:textId="3D12335F" w:rsidR="000941B3" w:rsidRPr="00A161AC" w:rsidRDefault="000941B3" w:rsidP="00AB4B85">
            <w:pPr>
              <w:pStyle w:val="ListParagraph"/>
              <w:numPr>
                <w:ilvl w:val="0"/>
                <w:numId w:val="6"/>
              </w:numPr>
              <w:spacing w:after="50" w:line="240" w:lineRule="auto"/>
              <w:ind w:left="357" w:hanging="357"/>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ICB’s unique contribution to overall system performance and quality and delivery against the four purposes of an ICS</w:t>
            </w:r>
          </w:p>
          <w:p w14:paraId="1DF270B0" w14:textId="77777777" w:rsidR="000941B3" w:rsidRPr="00A161AC" w:rsidRDefault="000941B3" w:rsidP="00AB4B85">
            <w:pPr>
              <w:pStyle w:val="ListParagraph"/>
              <w:numPr>
                <w:ilvl w:val="0"/>
                <w:numId w:val="5"/>
              </w:numPr>
              <w:spacing w:after="50" w:line="240" w:lineRule="auto"/>
              <w:ind w:left="357" w:hanging="357"/>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Effectiveness of current support or intervention arrangements of ICB and its provider partners and the extent to which these may need to be refined</w:t>
            </w:r>
            <w:r w:rsidR="00E557DA" w:rsidRPr="00A161AC">
              <w:rPr>
                <w:rFonts w:asciiTheme="minorHAnsi" w:hAnsiTheme="minorHAnsi" w:cstheme="minorHAnsi"/>
                <w:color w:val="auto"/>
                <w:sz w:val="20"/>
                <w:szCs w:val="20"/>
              </w:rPr>
              <w:t>.</w:t>
            </w:r>
          </w:p>
          <w:p w14:paraId="78D9C4AF" w14:textId="77777777" w:rsidR="000941B3" w:rsidRPr="00A161AC" w:rsidRDefault="000941B3" w:rsidP="00AB4B85">
            <w:pPr>
              <w:pStyle w:val="ListParagraph"/>
              <w:numPr>
                <w:ilvl w:val="0"/>
                <w:numId w:val="5"/>
              </w:numPr>
              <w:spacing w:after="50" w:line="240" w:lineRule="auto"/>
              <w:ind w:left="357" w:hanging="357"/>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The extent to which NHS system partners are working effectively together to deliver and improve</w:t>
            </w:r>
            <w:r w:rsidR="00E557DA" w:rsidRPr="00A161AC">
              <w:rPr>
                <w:rFonts w:asciiTheme="minorHAnsi" w:hAnsiTheme="minorHAnsi" w:cstheme="minorHAnsi"/>
                <w:color w:val="auto"/>
                <w:sz w:val="20"/>
                <w:szCs w:val="20"/>
              </w:rPr>
              <w:t>.</w:t>
            </w:r>
          </w:p>
          <w:p w14:paraId="555B68FB" w14:textId="78D5CC79" w:rsidR="000941B3" w:rsidRPr="00A161AC" w:rsidRDefault="000941B3" w:rsidP="00AB4B85">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A161AC">
              <w:rPr>
                <w:rFonts w:asciiTheme="minorHAnsi" w:hAnsiTheme="minorHAnsi" w:cstheme="minorHAnsi"/>
                <w:color w:val="auto"/>
                <w:sz w:val="20"/>
                <w:szCs w:val="20"/>
              </w:rPr>
              <w:t>Assurance of commissioning and delivery of delegated services, including but not limited to Primary, Optometry, Dental, and certain Specialised services.</w:t>
            </w:r>
          </w:p>
        </w:tc>
        <w:tc>
          <w:tcPr>
            <w:tcW w:w="7250" w:type="dxa"/>
          </w:tcPr>
          <w:p w14:paraId="4F5ED4FC" w14:textId="3F7A0ABE" w:rsidR="000941B3" w:rsidRPr="00A161AC" w:rsidRDefault="000941B3" w:rsidP="00EE59CC">
            <w:pPr>
              <w:spacing w:after="50" w:line="240" w:lineRule="auto"/>
              <w:textboxTightWrap w:val="none"/>
              <w:rPr>
                <w:rFonts w:asciiTheme="minorHAnsi" w:hAnsiTheme="minorHAnsi" w:cstheme="minorHAnsi"/>
                <w:color w:val="auto"/>
                <w:sz w:val="22"/>
                <w:szCs w:val="22"/>
              </w:rPr>
            </w:pPr>
            <w:r w:rsidRPr="00A161AC">
              <w:rPr>
                <w:rFonts w:asciiTheme="minorHAnsi" w:hAnsiTheme="minorHAnsi" w:cstheme="minorHAnsi"/>
                <w:b/>
                <w:bCs/>
                <w:color w:val="auto"/>
                <w:sz w:val="22"/>
                <w:szCs w:val="22"/>
              </w:rPr>
              <w:t>Provider</w:t>
            </w:r>
          </w:p>
          <w:p w14:paraId="2ED74551" w14:textId="7226A397" w:rsidR="000941B3" w:rsidRPr="00A161AC" w:rsidRDefault="000941B3" w:rsidP="00AB4B85">
            <w:pPr>
              <w:pStyle w:val="ListParagraph"/>
              <w:numPr>
                <w:ilvl w:val="0"/>
                <w:numId w:val="5"/>
              </w:numPr>
              <w:spacing w:after="50" w:line="240" w:lineRule="auto"/>
              <w:ind w:left="357" w:hanging="357"/>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Oversight of and support or intervention to:</w:t>
            </w:r>
          </w:p>
          <w:p w14:paraId="138B0FFE" w14:textId="77777777" w:rsidR="000941B3" w:rsidRPr="00A161AC" w:rsidRDefault="000941B3" w:rsidP="00AB4B85">
            <w:pPr>
              <w:numPr>
                <w:ilvl w:val="0"/>
                <w:numId w:val="25"/>
              </w:numPr>
              <w:spacing w:after="50" w:line="240" w:lineRule="auto"/>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individual organisations, including those that span multiple ICSs e.g. ambulance providers and specialist providers</w:t>
            </w:r>
            <w:r w:rsidR="00E557DA" w:rsidRPr="00A161AC">
              <w:rPr>
                <w:rFonts w:asciiTheme="minorHAnsi" w:hAnsiTheme="minorHAnsi" w:cstheme="minorHAnsi"/>
                <w:color w:val="auto"/>
                <w:sz w:val="20"/>
                <w:szCs w:val="20"/>
              </w:rPr>
              <w:t>.</w:t>
            </w:r>
            <w:r w:rsidRPr="00A161AC">
              <w:rPr>
                <w:rFonts w:asciiTheme="minorHAnsi" w:hAnsiTheme="minorHAnsi" w:cstheme="minorHAnsi"/>
                <w:color w:val="auto"/>
                <w:sz w:val="20"/>
                <w:szCs w:val="20"/>
              </w:rPr>
              <w:t xml:space="preserve"> </w:t>
            </w:r>
          </w:p>
          <w:p w14:paraId="58F13566" w14:textId="77777777" w:rsidR="000941B3" w:rsidRPr="00A161AC" w:rsidRDefault="000941B3" w:rsidP="00AB4B85">
            <w:pPr>
              <w:numPr>
                <w:ilvl w:val="0"/>
                <w:numId w:val="25"/>
              </w:numPr>
              <w:spacing w:after="50" w:line="240" w:lineRule="auto"/>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collaboratives that span multiple places, including for the delivery of specialised services</w:t>
            </w:r>
          </w:p>
          <w:p w14:paraId="389A77C0" w14:textId="77777777" w:rsidR="000941B3" w:rsidRPr="00A161AC" w:rsidRDefault="000941B3" w:rsidP="00AB4B85">
            <w:pPr>
              <w:numPr>
                <w:ilvl w:val="0"/>
                <w:numId w:val="25"/>
              </w:numPr>
              <w:spacing w:after="50" w:line="240" w:lineRule="auto"/>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Place-based partnerships</w:t>
            </w:r>
            <w:r w:rsidR="00E557DA" w:rsidRPr="00A161AC">
              <w:rPr>
                <w:rFonts w:asciiTheme="minorHAnsi" w:hAnsiTheme="minorHAnsi" w:cstheme="minorHAnsi"/>
                <w:color w:val="auto"/>
                <w:sz w:val="20"/>
                <w:szCs w:val="20"/>
              </w:rPr>
              <w:t>.</w:t>
            </w:r>
          </w:p>
          <w:p w14:paraId="18F0D798" w14:textId="77777777" w:rsidR="000941B3" w:rsidRPr="00A161AC" w:rsidRDefault="000941B3" w:rsidP="00AB4B85">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A161AC">
              <w:rPr>
                <w:rFonts w:asciiTheme="minorHAnsi" w:hAnsiTheme="minorHAnsi" w:cstheme="minorHAnsi"/>
                <w:color w:val="auto"/>
                <w:sz w:val="20"/>
                <w:szCs w:val="20"/>
              </w:rPr>
              <w:t>Scope is determined by the specific issues identified in discussion between NHS England and ICB leadership</w:t>
            </w:r>
          </w:p>
        </w:tc>
      </w:tr>
      <w:tr w:rsidR="000941B3" w:rsidRPr="00A161AC" w14:paraId="7CB99EFF" w14:textId="77777777" w:rsidTr="00A161AC">
        <w:trPr>
          <w:trHeight w:val="392"/>
        </w:trPr>
        <w:tc>
          <w:tcPr>
            <w:tcW w:w="14311" w:type="dxa"/>
            <w:gridSpan w:val="2"/>
            <w:shd w:val="clear" w:color="auto" w:fill="003087" w:themeFill="accent1"/>
          </w:tcPr>
          <w:p w14:paraId="08D55F67" w14:textId="42894144" w:rsidR="000941B3" w:rsidRPr="00A161AC" w:rsidRDefault="000941B3" w:rsidP="003914BC">
            <w:pPr>
              <w:spacing w:after="50" w:line="240" w:lineRule="auto"/>
              <w:textboxTightWrap w:val="none"/>
              <w:rPr>
                <w:rFonts w:asciiTheme="minorHAnsi" w:hAnsiTheme="minorHAnsi" w:cstheme="minorHAnsi"/>
                <w:color w:val="FFFFFF" w:themeColor="text1"/>
                <w:sz w:val="22"/>
                <w:szCs w:val="22"/>
              </w:rPr>
            </w:pPr>
            <w:bookmarkStart w:id="13" w:name="_Hlk165368376"/>
            <w:r w:rsidRPr="00A161AC">
              <w:rPr>
                <w:rFonts w:asciiTheme="minorHAnsi" w:hAnsiTheme="minorHAnsi" w:cstheme="minorHAnsi"/>
                <w:b/>
                <w:bCs/>
                <w:color w:val="FFFFFF" w:themeColor="text1"/>
                <w:sz w:val="28"/>
                <w:szCs w:val="28"/>
              </w:rPr>
              <w:t>Roles and participation</w:t>
            </w:r>
          </w:p>
        </w:tc>
      </w:tr>
      <w:bookmarkEnd w:id="13"/>
      <w:tr w:rsidR="000941B3" w:rsidRPr="00A161AC" w14:paraId="1ECBB627" w14:textId="77777777" w:rsidTr="000941B3">
        <w:trPr>
          <w:trHeight w:val="2524"/>
        </w:trPr>
        <w:tc>
          <w:tcPr>
            <w:tcW w:w="7061" w:type="dxa"/>
          </w:tcPr>
          <w:p w14:paraId="046847D3" w14:textId="71624134" w:rsidR="000941B3" w:rsidRPr="00A161AC" w:rsidRDefault="000941B3" w:rsidP="003914BC">
            <w:pPr>
              <w:spacing w:after="50" w:line="240" w:lineRule="auto"/>
              <w:textboxTightWrap w:val="none"/>
              <w:rPr>
                <w:rFonts w:asciiTheme="minorHAnsi" w:hAnsiTheme="minorHAnsi" w:cstheme="minorHAnsi"/>
                <w:b/>
                <w:bCs/>
                <w:color w:val="auto"/>
                <w:sz w:val="22"/>
                <w:szCs w:val="22"/>
              </w:rPr>
            </w:pPr>
            <w:r w:rsidRPr="00A161AC">
              <w:rPr>
                <w:rFonts w:asciiTheme="minorHAnsi" w:hAnsiTheme="minorHAnsi" w:cstheme="minorHAnsi"/>
                <w:b/>
                <w:bCs/>
                <w:color w:val="auto"/>
                <w:sz w:val="22"/>
                <w:szCs w:val="22"/>
              </w:rPr>
              <w:t>ICB</w:t>
            </w:r>
          </w:p>
          <w:p w14:paraId="382FF071" w14:textId="7A114A9C" w:rsidR="000941B3" w:rsidRPr="00A161AC" w:rsidRDefault="000941B3" w:rsidP="00AB4B85">
            <w:pPr>
              <w:pStyle w:val="ListParagraph"/>
              <w:numPr>
                <w:ilvl w:val="0"/>
                <w:numId w:val="5"/>
              </w:numPr>
              <w:spacing w:after="50" w:line="240" w:lineRule="auto"/>
              <w:ind w:left="357" w:hanging="357"/>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Led by NHS England with:</w:t>
            </w:r>
          </w:p>
          <w:p w14:paraId="2227DE38" w14:textId="77777777" w:rsidR="000941B3" w:rsidRPr="00A161AC" w:rsidRDefault="000941B3" w:rsidP="00AB4B85">
            <w:pPr>
              <w:numPr>
                <w:ilvl w:val="0"/>
                <w:numId w:val="27"/>
              </w:numPr>
              <w:spacing w:after="50" w:line="240" w:lineRule="auto"/>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ICB leadership team</w:t>
            </w:r>
          </w:p>
          <w:p w14:paraId="6E84C28A" w14:textId="77777777" w:rsidR="000941B3" w:rsidRPr="00A161AC" w:rsidRDefault="000941B3" w:rsidP="00AB4B85">
            <w:pPr>
              <w:numPr>
                <w:ilvl w:val="0"/>
                <w:numId w:val="27"/>
              </w:numPr>
              <w:spacing w:after="50" w:line="240" w:lineRule="auto"/>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Relevant national experts</w:t>
            </w:r>
          </w:p>
          <w:p w14:paraId="76280ACF" w14:textId="77777777" w:rsidR="000941B3" w:rsidRPr="00A161AC" w:rsidRDefault="000941B3" w:rsidP="00AB4B85">
            <w:pPr>
              <w:numPr>
                <w:ilvl w:val="0"/>
                <w:numId w:val="27"/>
              </w:numPr>
              <w:spacing w:after="50" w:line="240" w:lineRule="auto"/>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By exception senior leaders from NHS system/ providers/ organisations where there are specific concerns regarding their organisations</w:t>
            </w:r>
          </w:p>
          <w:p w14:paraId="7933AFF1" w14:textId="77777777" w:rsidR="000941B3" w:rsidRPr="00A161AC" w:rsidRDefault="000941B3" w:rsidP="00AB4B85">
            <w:pPr>
              <w:numPr>
                <w:ilvl w:val="0"/>
                <w:numId w:val="5"/>
              </w:numPr>
              <w:spacing w:after="50" w:line="240" w:lineRule="auto"/>
              <w:ind w:left="357" w:hanging="357"/>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 xml:space="preserve">For organisations in the Recovery Support Programme, these meetings are led by the National programme team. </w:t>
            </w:r>
          </w:p>
        </w:tc>
        <w:tc>
          <w:tcPr>
            <w:tcW w:w="7250" w:type="dxa"/>
          </w:tcPr>
          <w:p w14:paraId="1CF4713C" w14:textId="7E0920A3" w:rsidR="000941B3" w:rsidRPr="00A161AC" w:rsidRDefault="000941B3" w:rsidP="003914BC">
            <w:pPr>
              <w:spacing w:after="50" w:line="240" w:lineRule="auto"/>
              <w:textboxTightWrap w:val="none"/>
              <w:rPr>
                <w:rFonts w:asciiTheme="minorHAnsi" w:hAnsiTheme="minorHAnsi" w:cstheme="minorHAnsi"/>
                <w:color w:val="auto"/>
                <w:sz w:val="22"/>
                <w:szCs w:val="22"/>
              </w:rPr>
            </w:pPr>
            <w:r w:rsidRPr="00A161AC">
              <w:rPr>
                <w:rFonts w:asciiTheme="minorHAnsi" w:hAnsiTheme="minorHAnsi" w:cstheme="minorHAnsi"/>
                <w:b/>
                <w:bCs/>
                <w:color w:val="auto"/>
                <w:sz w:val="22"/>
                <w:szCs w:val="22"/>
              </w:rPr>
              <w:t>Provider</w:t>
            </w:r>
          </w:p>
          <w:p w14:paraId="4EF19D6C" w14:textId="2A2307F1" w:rsidR="000941B3" w:rsidRPr="00A161AC" w:rsidRDefault="000941B3" w:rsidP="00AB4B85">
            <w:pPr>
              <w:numPr>
                <w:ilvl w:val="0"/>
                <w:numId w:val="5"/>
              </w:numPr>
              <w:spacing w:after="50" w:line="240" w:lineRule="auto"/>
              <w:ind w:left="357" w:hanging="357"/>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Led by the ICB in line with arrangements set out in the ICB’s governance handbook.</w:t>
            </w:r>
          </w:p>
          <w:p w14:paraId="26310F3A" w14:textId="77777777" w:rsidR="000941B3" w:rsidRPr="00A161AC" w:rsidRDefault="000941B3" w:rsidP="00AB4B85">
            <w:pPr>
              <w:numPr>
                <w:ilvl w:val="0"/>
                <w:numId w:val="5"/>
              </w:numPr>
              <w:spacing w:after="50" w:line="240" w:lineRule="auto"/>
              <w:ind w:left="357" w:hanging="357"/>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May involve NHS England in situations where:</w:t>
            </w:r>
          </w:p>
          <w:p w14:paraId="4321F97D" w14:textId="156B626E" w:rsidR="000941B3" w:rsidRPr="00A161AC" w:rsidRDefault="000941B3" w:rsidP="00AB4B85">
            <w:pPr>
              <w:numPr>
                <w:ilvl w:val="0"/>
                <w:numId w:val="26"/>
              </w:numPr>
              <w:spacing w:after="50" w:line="240" w:lineRule="auto"/>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We have concerns regarding a provider being in breach or potential breach of their license conditions.</w:t>
            </w:r>
          </w:p>
          <w:p w14:paraId="096D0CF3" w14:textId="6185DB4D" w:rsidR="000941B3" w:rsidRPr="00A161AC" w:rsidRDefault="000941B3" w:rsidP="00AB4B85">
            <w:pPr>
              <w:numPr>
                <w:ilvl w:val="0"/>
                <w:numId w:val="26"/>
              </w:numPr>
              <w:spacing w:after="50" w:line="240" w:lineRule="auto"/>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The ICB has requested expert support from us.</w:t>
            </w:r>
          </w:p>
          <w:p w14:paraId="37968644" w14:textId="0D37A0DD" w:rsidR="000941B3" w:rsidRPr="00A161AC" w:rsidRDefault="000941B3" w:rsidP="00AB4B85">
            <w:pPr>
              <w:numPr>
                <w:ilvl w:val="0"/>
                <w:numId w:val="26"/>
              </w:numPr>
              <w:spacing w:after="50" w:line="240" w:lineRule="auto"/>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The provider is in segment three or four.</w:t>
            </w:r>
          </w:p>
          <w:p w14:paraId="24A9BD31" w14:textId="77777777" w:rsidR="000941B3" w:rsidRPr="00A161AC" w:rsidRDefault="000941B3" w:rsidP="00AB4B85">
            <w:pPr>
              <w:numPr>
                <w:ilvl w:val="0"/>
                <w:numId w:val="26"/>
              </w:numPr>
              <w:spacing w:after="50" w:line="240" w:lineRule="auto"/>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The ICB has a capability rating of progressing or insufficient progress</w:t>
            </w:r>
          </w:p>
        </w:tc>
      </w:tr>
      <w:tr w:rsidR="001C5061" w:rsidRPr="00A161AC" w14:paraId="3D77956C" w14:textId="77777777" w:rsidTr="00A161AC">
        <w:trPr>
          <w:trHeight w:val="470"/>
        </w:trPr>
        <w:tc>
          <w:tcPr>
            <w:tcW w:w="14311" w:type="dxa"/>
            <w:gridSpan w:val="2"/>
            <w:shd w:val="clear" w:color="auto" w:fill="003087" w:themeFill="accent1"/>
          </w:tcPr>
          <w:p w14:paraId="46D3913C" w14:textId="2083CD4C" w:rsidR="001C5061" w:rsidRPr="00A161AC" w:rsidRDefault="00052839" w:rsidP="001C5061">
            <w:pPr>
              <w:spacing w:line="240" w:lineRule="auto"/>
              <w:rPr>
                <w:rFonts w:asciiTheme="minorHAnsi" w:hAnsiTheme="minorHAnsi" w:cstheme="minorHAnsi"/>
                <w:b/>
                <w:bCs/>
                <w:color w:val="FFFFFF" w:themeColor="text1"/>
                <w:sz w:val="28"/>
                <w:szCs w:val="28"/>
              </w:rPr>
            </w:pPr>
            <w:r w:rsidRPr="00A161AC">
              <w:rPr>
                <w:rFonts w:asciiTheme="minorHAnsi" w:hAnsiTheme="minorHAnsi" w:cstheme="minorHAnsi"/>
                <w:b/>
                <w:bCs/>
                <w:color w:val="FFFFFF" w:themeColor="text1"/>
                <w:sz w:val="28"/>
                <w:szCs w:val="28"/>
              </w:rPr>
              <w:t>Frequency of review meetings</w:t>
            </w:r>
          </w:p>
        </w:tc>
      </w:tr>
      <w:tr w:rsidR="000941B3" w:rsidRPr="00A161AC" w14:paraId="144FC350" w14:textId="77777777" w:rsidTr="000941B3">
        <w:trPr>
          <w:trHeight w:val="704"/>
        </w:trPr>
        <w:tc>
          <w:tcPr>
            <w:tcW w:w="7061" w:type="dxa"/>
          </w:tcPr>
          <w:p w14:paraId="10B6DAE4" w14:textId="77777777" w:rsidR="000941B3" w:rsidRPr="00A161AC" w:rsidRDefault="000941B3" w:rsidP="00AB4B85">
            <w:pPr>
              <w:pStyle w:val="ListParagraph"/>
              <w:numPr>
                <w:ilvl w:val="0"/>
                <w:numId w:val="5"/>
              </w:numPr>
              <w:spacing w:after="50" w:line="240" w:lineRule="auto"/>
              <w:ind w:left="357" w:hanging="357"/>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 xml:space="preserve">The meeting frequency will vary according to the governance arrangements agreed between our regional team and ICB, but is expected to be at least quarterly; </w:t>
            </w:r>
          </w:p>
          <w:p w14:paraId="51F80E0E" w14:textId="77777777" w:rsidR="000941B3" w:rsidRPr="00A161AC" w:rsidRDefault="000941B3" w:rsidP="00AB4B85">
            <w:pPr>
              <w:pStyle w:val="ListParagraph"/>
              <w:numPr>
                <w:ilvl w:val="0"/>
                <w:numId w:val="5"/>
              </w:numPr>
              <w:spacing w:after="50" w:line="240" w:lineRule="auto"/>
              <w:ind w:left="357" w:hanging="357"/>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We may engage more frequently where there are material concerns or where the RSP is involved;</w:t>
            </w:r>
          </w:p>
          <w:p w14:paraId="344015E3" w14:textId="77777777" w:rsidR="000941B3" w:rsidRPr="00A161AC" w:rsidRDefault="000941B3" w:rsidP="00AB4B85">
            <w:pPr>
              <w:pStyle w:val="ListParagraph"/>
              <w:numPr>
                <w:ilvl w:val="0"/>
                <w:numId w:val="5"/>
              </w:numPr>
              <w:spacing w:after="50" w:line="240" w:lineRule="auto"/>
              <w:ind w:left="357" w:hanging="357"/>
              <w:textboxTightWrap w:val="none"/>
              <w:rPr>
                <w:rFonts w:asciiTheme="minorHAnsi" w:hAnsiTheme="minorHAnsi" w:cstheme="minorHAnsi"/>
                <w:color w:val="auto"/>
                <w:sz w:val="20"/>
                <w:szCs w:val="20"/>
              </w:rPr>
            </w:pPr>
            <w:r w:rsidRPr="00A161AC">
              <w:rPr>
                <w:rFonts w:asciiTheme="minorHAnsi" w:hAnsiTheme="minorHAnsi" w:cstheme="minorHAnsi"/>
                <w:color w:val="auto"/>
                <w:sz w:val="20"/>
                <w:szCs w:val="20"/>
              </w:rPr>
              <w:t xml:space="preserve">An annual meeting linked to ICB’s capability assessment. </w:t>
            </w:r>
          </w:p>
        </w:tc>
        <w:tc>
          <w:tcPr>
            <w:tcW w:w="7250" w:type="dxa"/>
          </w:tcPr>
          <w:p w14:paraId="19948766" w14:textId="77777777" w:rsidR="000941B3" w:rsidRPr="00A161AC" w:rsidRDefault="000941B3" w:rsidP="00AB4B85">
            <w:pPr>
              <w:pStyle w:val="ListParagraph"/>
              <w:numPr>
                <w:ilvl w:val="0"/>
                <w:numId w:val="5"/>
              </w:numPr>
              <w:spacing w:line="240" w:lineRule="auto"/>
              <w:ind w:left="357" w:hanging="357"/>
              <w:rPr>
                <w:rFonts w:asciiTheme="minorHAnsi" w:hAnsiTheme="minorHAnsi" w:cstheme="minorHAnsi"/>
                <w:color w:val="auto"/>
                <w:sz w:val="20"/>
                <w:szCs w:val="20"/>
              </w:rPr>
            </w:pPr>
            <w:r w:rsidRPr="00A161AC">
              <w:rPr>
                <w:rFonts w:asciiTheme="minorHAnsi" w:hAnsiTheme="minorHAnsi" w:cstheme="minorHAnsi"/>
                <w:color w:val="auto"/>
                <w:sz w:val="20"/>
                <w:szCs w:val="20"/>
              </w:rPr>
              <w:t>The meeting frequency will vary according to the governance arrangements agreed between our regional team, ICB, and provider leadership but is expected to be at least quarterly;</w:t>
            </w:r>
          </w:p>
          <w:p w14:paraId="721B170A" w14:textId="77777777" w:rsidR="000941B3" w:rsidRPr="00A161AC" w:rsidRDefault="000941B3" w:rsidP="00AB4B85">
            <w:pPr>
              <w:pStyle w:val="ListParagraph"/>
              <w:numPr>
                <w:ilvl w:val="0"/>
                <w:numId w:val="5"/>
              </w:numPr>
              <w:spacing w:line="240" w:lineRule="auto"/>
              <w:ind w:left="357" w:hanging="357"/>
              <w:rPr>
                <w:rFonts w:asciiTheme="minorHAnsi" w:hAnsiTheme="minorHAnsi" w:cstheme="minorHAnsi"/>
                <w:color w:val="auto"/>
                <w:sz w:val="20"/>
                <w:szCs w:val="20"/>
              </w:rPr>
            </w:pPr>
            <w:r w:rsidRPr="00A161AC">
              <w:rPr>
                <w:rFonts w:asciiTheme="minorHAnsi" w:hAnsiTheme="minorHAnsi" w:cstheme="minorHAnsi"/>
                <w:color w:val="auto"/>
                <w:sz w:val="20"/>
                <w:szCs w:val="20"/>
              </w:rPr>
              <w:t>We may engage more frequently where there are material concerns or the RSP is involved.</w:t>
            </w:r>
          </w:p>
        </w:tc>
      </w:tr>
    </w:tbl>
    <w:p w14:paraId="39652137" w14:textId="50453DFB" w:rsidR="00FF4D60" w:rsidRPr="00A161AC" w:rsidRDefault="002502D0" w:rsidP="002C1035">
      <w:pPr>
        <w:pStyle w:val="BodyText"/>
        <w:sectPr w:rsidR="00FF4D60" w:rsidRPr="00A161AC" w:rsidSect="006E32A3">
          <w:pgSz w:w="16838" w:h="11906" w:orient="landscape"/>
          <w:pgMar w:top="1135" w:right="1021" w:bottom="1021" w:left="1021" w:header="454" w:footer="556" w:gutter="0"/>
          <w:cols w:space="708"/>
          <w:docGrid w:linePitch="360"/>
        </w:sectPr>
      </w:pPr>
      <w:r w:rsidRPr="00A161AC">
        <w:rPr>
          <w:rStyle w:val="BodyTextChar"/>
          <w:sz w:val="22"/>
          <w:szCs w:val="22"/>
        </w:rPr>
        <w:t>Table 2: Ongoing monitoring process – review meetings</w:t>
      </w:r>
    </w:p>
    <w:p w14:paraId="77B8193D" w14:textId="0991C49C" w:rsidR="00FF4D60" w:rsidRPr="00A161AC" w:rsidRDefault="00155C15" w:rsidP="00FF4D60">
      <w:pPr>
        <w:pStyle w:val="h3numbered"/>
        <w:numPr>
          <w:ilvl w:val="0"/>
          <w:numId w:val="0"/>
        </w:numPr>
        <w:ind w:left="624" w:hanging="624"/>
      </w:pPr>
      <w:bookmarkStart w:id="14" w:name="_Toc160560581"/>
      <w:bookmarkStart w:id="15" w:name="_Toc160636209"/>
      <w:bookmarkStart w:id="16" w:name="_Toc163574924"/>
      <w:bookmarkEnd w:id="14"/>
      <w:r w:rsidRPr="00A161AC">
        <w:lastRenderedPageBreak/>
        <w:t>4</w:t>
      </w:r>
      <w:r w:rsidR="00FF4D60" w:rsidRPr="00A161AC">
        <w:t>.2</w:t>
      </w:r>
      <w:r w:rsidR="00240186" w:rsidRPr="00A161AC">
        <w:tab/>
      </w:r>
      <w:r w:rsidR="00FF4D60" w:rsidRPr="00A161AC">
        <w:t>Identifying the scale and nature of support or intervention needs</w:t>
      </w:r>
      <w:bookmarkEnd w:id="15"/>
      <w:bookmarkEnd w:id="16"/>
    </w:p>
    <w:p w14:paraId="6CAD2654" w14:textId="21C414BA" w:rsidR="00FF4D60" w:rsidRPr="00A161AC" w:rsidRDefault="00FF4D60" w:rsidP="002502D0">
      <w:pPr>
        <w:pStyle w:val="Numberedlist"/>
        <w:spacing w:after="0"/>
        <w:ind w:left="714" w:hanging="357"/>
      </w:pPr>
      <w:r w:rsidRPr="00A161AC">
        <w:t>Each ICB and provider is assigned a segment between 1 and 4 indicating their respective level of delivery</w:t>
      </w:r>
      <w:r w:rsidR="002F5936" w:rsidRPr="00A161AC">
        <w:t xml:space="preserve"> and support needs</w:t>
      </w:r>
      <w:r w:rsidRPr="00A161AC">
        <w:t>. We make decisions on segments by considering these specific elements:</w:t>
      </w:r>
    </w:p>
    <w:p w14:paraId="49A45761" w14:textId="7FB6F345" w:rsidR="00FF4D60" w:rsidRPr="00A161AC" w:rsidRDefault="00FF4D60" w:rsidP="002502D0">
      <w:pPr>
        <w:pStyle w:val="Numberedlist"/>
        <w:numPr>
          <w:ilvl w:val="4"/>
          <w:numId w:val="2"/>
        </w:numPr>
        <w:spacing w:after="0"/>
        <w:ind w:left="1775" w:hanging="357"/>
      </w:pPr>
      <w:r w:rsidRPr="00A161AC">
        <w:t xml:space="preserve">A set of objective, measurable criteria based on </w:t>
      </w:r>
      <w:r w:rsidR="002F5936" w:rsidRPr="00A161AC">
        <w:t xml:space="preserve">metrics associated with </w:t>
      </w:r>
      <w:r w:rsidRPr="00A161AC">
        <w:t>the six domains of the oversight framework;</w:t>
      </w:r>
    </w:p>
    <w:p w14:paraId="40B90F9C" w14:textId="77777777" w:rsidR="00FF4D60" w:rsidRPr="00A161AC" w:rsidRDefault="00FF4D60" w:rsidP="002502D0">
      <w:pPr>
        <w:pStyle w:val="Numberedlist"/>
        <w:numPr>
          <w:ilvl w:val="4"/>
          <w:numId w:val="2"/>
        </w:numPr>
        <w:spacing w:after="0"/>
        <w:ind w:left="1775" w:hanging="357"/>
      </w:pPr>
      <w:r w:rsidRPr="00A161AC">
        <w:t>A set of additional considerations, including the aggregated NHS system performance on key national priorities such as Urgent and Emergency Care, Elective Care, Mental Health care, and finance;</w:t>
      </w:r>
    </w:p>
    <w:p w14:paraId="1698B8AE" w14:textId="77777777" w:rsidR="00FF4D60" w:rsidRPr="00A161AC" w:rsidRDefault="00FF4D60" w:rsidP="002502D0">
      <w:pPr>
        <w:pStyle w:val="Numberedlist"/>
        <w:numPr>
          <w:ilvl w:val="4"/>
          <w:numId w:val="2"/>
        </w:numPr>
        <w:spacing w:after="0"/>
        <w:ind w:left="1775" w:hanging="357"/>
      </w:pPr>
      <w:r w:rsidRPr="00A161AC">
        <w:t xml:space="preserve">The capability of the organisation to improve without additional support or intervention; and </w:t>
      </w:r>
    </w:p>
    <w:p w14:paraId="7BF198FD" w14:textId="77777777" w:rsidR="00FF4D60" w:rsidRPr="00A161AC" w:rsidRDefault="00FF4D60" w:rsidP="002502D0">
      <w:pPr>
        <w:pStyle w:val="Numberedlist"/>
        <w:numPr>
          <w:ilvl w:val="4"/>
          <w:numId w:val="2"/>
        </w:numPr>
        <w:spacing w:after="0"/>
        <w:ind w:left="1775" w:hanging="357"/>
      </w:pPr>
      <w:r w:rsidRPr="00A161AC">
        <w:t xml:space="preserve">A consideration of the organisation’s improvement trajectory along with the role it is playing in supporting its NHS system partners in meeting shared priorities. We also consider whether challenges are long-standing and how the organisation is working to address them. </w:t>
      </w:r>
    </w:p>
    <w:p w14:paraId="7E87216F" w14:textId="77777777" w:rsidR="00FF4D60" w:rsidRPr="00A161AC" w:rsidRDefault="00FF4D60" w:rsidP="00FF4D60">
      <w:pPr>
        <w:pStyle w:val="Numberedlist"/>
        <w:numPr>
          <w:ilvl w:val="0"/>
          <w:numId w:val="0"/>
        </w:numPr>
      </w:pPr>
    </w:p>
    <w:p w14:paraId="211AA586" w14:textId="2291C589" w:rsidR="00FF4D60" w:rsidRPr="00A161AC" w:rsidRDefault="00FF4D60" w:rsidP="002502D0">
      <w:pPr>
        <w:pStyle w:val="Numberedlist"/>
        <w:spacing w:after="0"/>
        <w:ind w:left="714" w:hanging="357"/>
      </w:pPr>
      <w:r w:rsidRPr="00A161AC">
        <w:t>Primary care providers, primary care networks (PCNs), and other non-trust providers or bodies such as provider collaboratives are not allocated their own segments. These entities do, however, contribute to the ICB’s segment and the overall system performance.</w:t>
      </w:r>
    </w:p>
    <w:p w14:paraId="638E53E3" w14:textId="1475EE0B" w:rsidR="00343F8A" w:rsidRPr="00A161AC" w:rsidRDefault="003F09C9" w:rsidP="00343F8A">
      <w:pPr>
        <w:pStyle w:val="Numberedlist"/>
        <w:numPr>
          <w:ilvl w:val="0"/>
          <w:numId w:val="0"/>
        </w:numPr>
        <w:ind w:left="720"/>
      </w:pPr>
      <w:r w:rsidRPr="00A161AC">
        <w:rPr>
          <w:noProof/>
        </w:rPr>
        <w:drawing>
          <wp:inline distT="0" distB="0" distL="0" distR="0" wp14:anchorId="1BCC56E5" wp14:editId="7376CB27">
            <wp:extent cx="5784973" cy="2930908"/>
            <wp:effectExtent l="0" t="0" r="6350" b="3175"/>
            <wp:docPr id="1742434333" name="Picture 6" descr="Diagram showing the steps necessary to determine the ICB segment. This starts with an indicative delivery score, then an adjustment based on overall system delivery. It includes consideration of ICB capability and concludes with discussion of the provisional segment before pub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434333" name="Picture 6" descr="Diagram showing the steps necessary to determine the ICB segment. This starts with an indicative delivery score, then an adjustment based on overall system delivery. It includes consideration of ICB capability and concludes with discussion of the provisional segment before publication."/>
                    <pic:cNvPicPr>
                      <a:picLocks noChangeAspect="1" noChangeArrowheads="1"/>
                    </pic:cNvPicPr>
                  </pic:nvPicPr>
                  <pic:blipFill rotWithShape="1">
                    <a:blip r:embed="rId36">
                      <a:extLst>
                        <a:ext uri="{28A0092B-C50C-407E-A947-70E740481C1C}">
                          <a14:useLocalDpi xmlns:a14="http://schemas.microsoft.com/office/drawing/2010/main" val="0"/>
                        </a:ext>
                      </a:extLst>
                    </a:blip>
                    <a:srcRect l="5328" t="16698" r="21335" b="17247"/>
                    <a:stretch/>
                  </pic:blipFill>
                  <pic:spPr bwMode="auto">
                    <a:xfrm>
                      <a:off x="0" y="0"/>
                      <a:ext cx="5803971" cy="2940533"/>
                    </a:xfrm>
                    <a:prstGeom prst="rect">
                      <a:avLst/>
                    </a:prstGeom>
                    <a:noFill/>
                    <a:ln>
                      <a:noFill/>
                    </a:ln>
                    <a:extLst>
                      <a:ext uri="{53640926-AAD7-44D8-BBD7-CCE9431645EC}">
                        <a14:shadowObscured xmlns:a14="http://schemas.microsoft.com/office/drawing/2010/main"/>
                      </a:ext>
                    </a:extLst>
                  </pic:spPr>
                </pic:pic>
              </a:graphicData>
            </a:graphic>
          </wp:inline>
        </w:drawing>
      </w:r>
    </w:p>
    <w:p w14:paraId="164CC572" w14:textId="6025B140" w:rsidR="00FF4D60" w:rsidRPr="00A161AC" w:rsidRDefault="00390916" w:rsidP="002502D0">
      <w:pPr>
        <w:pStyle w:val="Numberedlist"/>
        <w:numPr>
          <w:ilvl w:val="0"/>
          <w:numId w:val="0"/>
        </w:numPr>
        <w:spacing w:after="0"/>
        <w:ind w:left="720" w:hanging="11"/>
        <w:rPr>
          <w:sz w:val="20"/>
          <w:szCs w:val="20"/>
        </w:rPr>
      </w:pPr>
      <w:r w:rsidRPr="00A161AC">
        <w:rPr>
          <w:sz w:val="20"/>
          <w:szCs w:val="20"/>
        </w:rPr>
        <w:t xml:space="preserve">Figure </w:t>
      </w:r>
      <w:r w:rsidR="00DD26FA" w:rsidRPr="00A161AC">
        <w:rPr>
          <w:sz w:val="20"/>
          <w:szCs w:val="20"/>
        </w:rPr>
        <w:t>6</w:t>
      </w:r>
      <w:r w:rsidR="002343E1" w:rsidRPr="00A161AC">
        <w:rPr>
          <w:sz w:val="20"/>
          <w:szCs w:val="20"/>
        </w:rPr>
        <w:t xml:space="preserve">: </w:t>
      </w:r>
      <w:r w:rsidR="002502D0" w:rsidRPr="00A161AC">
        <w:rPr>
          <w:sz w:val="20"/>
          <w:szCs w:val="20"/>
        </w:rPr>
        <w:t>Determining</w:t>
      </w:r>
      <w:r w:rsidR="00335F08" w:rsidRPr="00A161AC">
        <w:rPr>
          <w:sz w:val="20"/>
          <w:szCs w:val="20"/>
        </w:rPr>
        <w:t xml:space="preserve"> t</w:t>
      </w:r>
      <w:r w:rsidR="00FC3FEB" w:rsidRPr="00A161AC">
        <w:rPr>
          <w:sz w:val="20"/>
          <w:szCs w:val="20"/>
        </w:rPr>
        <w:t>he ICB segment</w:t>
      </w:r>
    </w:p>
    <w:p w14:paraId="1A3F6FFF" w14:textId="423EEB0D" w:rsidR="00FF4D60" w:rsidRPr="00A161AC" w:rsidRDefault="00FF4D60" w:rsidP="002502D0">
      <w:pPr>
        <w:pStyle w:val="Numberedlist"/>
        <w:spacing w:before="300" w:after="0"/>
        <w:ind w:left="714" w:hanging="357"/>
      </w:pPr>
      <w:r w:rsidRPr="00A161AC">
        <w:t>In</w:t>
      </w:r>
      <w:r w:rsidR="000D58DA" w:rsidRPr="00A161AC">
        <w:t>dicative</w:t>
      </w:r>
      <w:r w:rsidRPr="00A161AC">
        <w:t xml:space="preserve"> delivery s</w:t>
      </w:r>
      <w:r w:rsidR="00641E5E" w:rsidRPr="00A161AC">
        <w:t>core</w:t>
      </w:r>
      <w:r w:rsidRPr="00A161AC">
        <w:t xml:space="preserve">s are </w:t>
      </w:r>
      <w:r w:rsidR="00344436" w:rsidRPr="00A161AC">
        <w:t>determin</w:t>
      </w:r>
      <w:r w:rsidRPr="00A161AC">
        <w:t>ed through a metric-driven process based on a range of measures linked to the unique contribution of the ICB or provider to the specified oversight domains. The metrics that are used to give this initial s</w:t>
      </w:r>
      <w:r w:rsidR="00641E5E" w:rsidRPr="00A161AC">
        <w:t>core</w:t>
      </w:r>
      <w:r w:rsidRPr="00A161AC">
        <w:t xml:space="preserve"> are reviewed on an annual basis to ensure they reflect the latest published NHS priorities. For transparency, the list of metrics being used to guide segmentation is made </w:t>
      </w:r>
      <w:r w:rsidRPr="00A161AC">
        <w:lastRenderedPageBreak/>
        <w:t xml:space="preserve">publicly available on our website and will include consideration for any assessments by CQC. </w:t>
      </w:r>
    </w:p>
    <w:p w14:paraId="50D6E552" w14:textId="77777777" w:rsidR="00ED606B" w:rsidRPr="00A161AC" w:rsidRDefault="00ED606B" w:rsidP="002502D0">
      <w:pPr>
        <w:pStyle w:val="Numberedlist"/>
        <w:numPr>
          <w:ilvl w:val="0"/>
          <w:numId w:val="0"/>
        </w:numPr>
        <w:spacing w:after="0"/>
        <w:ind w:left="714" w:hanging="357"/>
      </w:pPr>
    </w:p>
    <w:p w14:paraId="134699B6" w14:textId="1F2534E8" w:rsidR="00ED606B" w:rsidRPr="00A161AC" w:rsidRDefault="00BE5D5D" w:rsidP="002502D0">
      <w:pPr>
        <w:pStyle w:val="Numberedlist"/>
        <w:spacing w:after="0"/>
        <w:ind w:left="714" w:hanging="357"/>
      </w:pPr>
      <w:r w:rsidRPr="00A161AC">
        <w:t xml:space="preserve">Each metric is individually scored </w:t>
      </w:r>
      <w:r w:rsidR="006F3D8C" w:rsidRPr="00A161AC">
        <w:t>and contributes to a specific “domain” score</w:t>
      </w:r>
      <w:r w:rsidR="00A61844" w:rsidRPr="00A161AC">
        <w:t xml:space="preserve">, domain scores are </w:t>
      </w:r>
      <w:r w:rsidR="006B4099" w:rsidRPr="00A161AC">
        <w:t xml:space="preserve">then </w:t>
      </w:r>
      <w:r w:rsidR="00A61844" w:rsidRPr="00A161AC">
        <w:t xml:space="preserve">brought together </w:t>
      </w:r>
      <w:r w:rsidR="00712A91" w:rsidRPr="00A161AC">
        <w:t xml:space="preserve">to form </w:t>
      </w:r>
      <w:r w:rsidR="006B4099" w:rsidRPr="00A161AC">
        <w:t>the</w:t>
      </w:r>
      <w:r w:rsidR="00712A91" w:rsidRPr="00A161AC">
        <w:t xml:space="preserve"> indicative delivery score. </w:t>
      </w:r>
      <w:r w:rsidR="00346C27" w:rsidRPr="00A161AC">
        <w:t>As well as demonstrating relative delivery performance</w:t>
      </w:r>
      <w:r w:rsidR="00666633" w:rsidRPr="00A161AC">
        <w:t xml:space="preserve"> we will also provide detail </w:t>
      </w:r>
      <w:r w:rsidR="00B910C2" w:rsidRPr="00A161AC">
        <w:t>on overall direction-of-travel</w:t>
      </w:r>
      <w:r w:rsidR="00CC6049" w:rsidRPr="00A161AC">
        <w:t xml:space="preserve"> in order to recognise those organis</w:t>
      </w:r>
      <w:r w:rsidR="00DF367A" w:rsidRPr="00A161AC">
        <w:t>ations that are improving, maintaining or declin</w:t>
      </w:r>
      <w:r w:rsidR="00CE7C93" w:rsidRPr="00A161AC">
        <w:t>ing</w:t>
      </w:r>
      <w:r w:rsidR="00A840F1" w:rsidRPr="00A161AC">
        <w:t xml:space="preserve"> in delivery terms.</w:t>
      </w:r>
    </w:p>
    <w:p w14:paraId="0EB84B5A" w14:textId="77777777" w:rsidR="00FF4D60" w:rsidRPr="00A161AC" w:rsidRDefault="00FF4D60" w:rsidP="002502D0">
      <w:pPr>
        <w:pStyle w:val="ListParagraph"/>
        <w:spacing w:after="0"/>
        <w:ind w:left="714" w:hanging="357"/>
      </w:pPr>
    </w:p>
    <w:p w14:paraId="4F2F7AA2" w14:textId="66D567F2" w:rsidR="00FF4D60" w:rsidRPr="00A161AC" w:rsidRDefault="00FF4D60" w:rsidP="002502D0">
      <w:pPr>
        <w:pStyle w:val="Numberedlist"/>
        <w:spacing w:after="0"/>
        <w:ind w:left="714" w:hanging="357"/>
      </w:pPr>
      <w:r w:rsidRPr="00A161AC">
        <w:t xml:space="preserve">The </w:t>
      </w:r>
      <w:r w:rsidR="004F643B" w:rsidRPr="00A161AC">
        <w:t>indicative</w:t>
      </w:r>
      <w:r w:rsidRPr="00A161AC">
        <w:t xml:space="preserve"> delivery </w:t>
      </w:r>
      <w:r w:rsidR="004F643B" w:rsidRPr="00A161AC">
        <w:t>score</w:t>
      </w:r>
      <w:r w:rsidRPr="00A161AC">
        <w:t xml:space="preserve"> of an individual ICB or provider is moderated to consider the wider performance and delivery of the NHS system through consideration of additional criteria. These criteria include the NHS system’s financial stability and performance against key national priorities. This is to ensure that consideration is given to shared priorities for which both ICBs and providers have a role to play in achieving. This results in a provisional delivery </w:t>
      </w:r>
      <w:r w:rsidR="00A3474D" w:rsidRPr="00A161AC">
        <w:t>score</w:t>
      </w:r>
      <w:r w:rsidRPr="00A161AC">
        <w:t xml:space="preserve"> </w:t>
      </w:r>
      <w:r w:rsidR="00511EEB" w:rsidRPr="00A161AC">
        <w:t>for the organisation</w:t>
      </w:r>
      <w:r w:rsidRPr="00A161AC">
        <w:t xml:space="preserve"> (see Figure</w:t>
      </w:r>
      <w:r w:rsidR="00C76EA9" w:rsidRPr="00A161AC">
        <w:t>s</w:t>
      </w:r>
      <w:r w:rsidRPr="00A161AC">
        <w:t xml:space="preserve"> </w:t>
      </w:r>
      <w:r w:rsidR="00DD26FA" w:rsidRPr="00A161AC">
        <w:t>6</w:t>
      </w:r>
      <w:r w:rsidR="00C76EA9" w:rsidRPr="00A161AC">
        <w:t xml:space="preserve"> and </w:t>
      </w:r>
      <w:r w:rsidR="00DD26FA" w:rsidRPr="00A161AC">
        <w:t>7</w:t>
      </w:r>
      <w:r w:rsidR="00C76EA9" w:rsidRPr="00A161AC">
        <w:t xml:space="preserve"> </w:t>
      </w:r>
      <w:r w:rsidRPr="00A161AC">
        <w:t xml:space="preserve">). </w:t>
      </w:r>
    </w:p>
    <w:p w14:paraId="6B8088DE" w14:textId="0B39D5C5" w:rsidR="00FF4D60" w:rsidRPr="00A161AC" w:rsidRDefault="004C60E3" w:rsidP="00060B73">
      <w:pPr>
        <w:pStyle w:val="Numberedlist"/>
        <w:numPr>
          <w:ilvl w:val="0"/>
          <w:numId w:val="0"/>
        </w:numPr>
        <w:ind w:left="992" w:hanging="425"/>
      </w:pPr>
      <w:r w:rsidRPr="00A161AC">
        <w:rPr>
          <w:noProof/>
        </w:rPr>
        <w:drawing>
          <wp:inline distT="0" distB="0" distL="0" distR="0" wp14:anchorId="3BB4AEE1" wp14:editId="49123EDF">
            <wp:extent cx="5913535" cy="3085032"/>
            <wp:effectExtent l="0" t="0" r="0" b="1270"/>
            <wp:docPr id="17484570" name="Picture 5" descr="This diagram shows the steps necessary to determine the provider segment. They start with generating an indicative delivery score then adjusting this based on overall system performance. They include generating a provisional segment using provider capability and finally making a decision for pub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570" name="Picture 5" descr="This diagram shows the steps necessary to determine the provider segment. They start with generating an indicative delivery score then adjusting this based on overall system performance. They include generating a provisional segment using provider capability and finally making a decision for publication"/>
                    <pic:cNvPicPr>
                      <a:picLocks noChangeAspect="1" noChangeArrowheads="1"/>
                    </pic:cNvPicPr>
                  </pic:nvPicPr>
                  <pic:blipFill rotWithShape="1">
                    <a:blip r:embed="rId37">
                      <a:extLst>
                        <a:ext uri="{28A0092B-C50C-407E-A947-70E740481C1C}">
                          <a14:useLocalDpi xmlns:a14="http://schemas.microsoft.com/office/drawing/2010/main" val="0"/>
                        </a:ext>
                      </a:extLst>
                    </a:blip>
                    <a:srcRect l="4907" t="16199" r="21188" b="15258"/>
                    <a:stretch/>
                  </pic:blipFill>
                  <pic:spPr bwMode="auto">
                    <a:xfrm>
                      <a:off x="0" y="0"/>
                      <a:ext cx="5926646" cy="3091872"/>
                    </a:xfrm>
                    <a:prstGeom prst="rect">
                      <a:avLst/>
                    </a:prstGeom>
                    <a:noFill/>
                    <a:ln>
                      <a:noFill/>
                    </a:ln>
                    <a:extLst>
                      <a:ext uri="{53640926-AAD7-44D8-BBD7-CCE9431645EC}">
                        <a14:shadowObscured xmlns:a14="http://schemas.microsoft.com/office/drawing/2010/main"/>
                      </a:ext>
                    </a:extLst>
                  </pic:spPr>
                </pic:pic>
              </a:graphicData>
            </a:graphic>
          </wp:inline>
        </w:drawing>
      </w:r>
    </w:p>
    <w:p w14:paraId="0CAF9E3C" w14:textId="3469C50F" w:rsidR="003449E2" w:rsidRPr="00A161AC" w:rsidRDefault="003449E2" w:rsidP="00060B73">
      <w:pPr>
        <w:pStyle w:val="Numberedlist"/>
        <w:numPr>
          <w:ilvl w:val="0"/>
          <w:numId w:val="0"/>
        </w:numPr>
        <w:ind w:left="360"/>
        <w:rPr>
          <w:sz w:val="20"/>
          <w:szCs w:val="20"/>
        </w:rPr>
      </w:pPr>
      <w:r w:rsidRPr="00A161AC">
        <w:rPr>
          <w:sz w:val="20"/>
          <w:szCs w:val="20"/>
        </w:rPr>
        <w:t xml:space="preserve">Figure </w:t>
      </w:r>
      <w:r w:rsidR="00DD26FA" w:rsidRPr="00A161AC">
        <w:rPr>
          <w:sz w:val="20"/>
          <w:szCs w:val="20"/>
        </w:rPr>
        <w:t>7</w:t>
      </w:r>
      <w:r w:rsidRPr="00A161AC">
        <w:rPr>
          <w:sz w:val="20"/>
          <w:szCs w:val="20"/>
        </w:rPr>
        <w:t xml:space="preserve">. </w:t>
      </w:r>
      <w:r w:rsidR="00335F08" w:rsidRPr="00A161AC">
        <w:rPr>
          <w:sz w:val="20"/>
          <w:szCs w:val="20"/>
        </w:rPr>
        <w:t>D</w:t>
      </w:r>
      <w:r w:rsidR="002502D0" w:rsidRPr="00A161AC">
        <w:rPr>
          <w:sz w:val="20"/>
          <w:szCs w:val="20"/>
        </w:rPr>
        <w:t>etermining</w:t>
      </w:r>
      <w:r w:rsidR="00335F08" w:rsidRPr="00A161AC">
        <w:rPr>
          <w:sz w:val="20"/>
          <w:szCs w:val="20"/>
        </w:rPr>
        <w:t xml:space="preserve"> the p</w:t>
      </w:r>
      <w:r w:rsidRPr="00A161AC">
        <w:rPr>
          <w:sz w:val="20"/>
          <w:szCs w:val="20"/>
        </w:rPr>
        <w:t xml:space="preserve">rovider </w:t>
      </w:r>
      <w:r w:rsidR="00137028" w:rsidRPr="00A161AC">
        <w:rPr>
          <w:sz w:val="20"/>
          <w:szCs w:val="20"/>
        </w:rPr>
        <w:t>segment</w:t>
      </w:r>
    </w:p>
    <w:p w14:paraId="3D0F9BB1" w14:textId="0A84CFBB" w:rsidR="00FF4D60" w:rsidRPr="00A161AC" w:rsidRDefault="00E24BD0" w:rsidP="00E322F3">
      <w:pPr>
        <w:pStyle w:val="Numberedlist"/>
        <w:spacing w:before="300" w:after="0"/>
        <w:ind w:left="714" w:hanging="357"/>
      </w:pPr>
      <w:r w:rsidRPr="00A161AC">
        <w:t xml:space="preserve">The provisional delivery score will </w:t>
      </w:r>
      <w:r w:rsidR="00727D0C" w:rsidRPr="00A161AC">
        <w:t>then</w:t>
      </w:r>
      <w:r w:rsidRPr="00A161AC">
        <w:t xml:space="preserve"> be </w:t>
      </w:r>
      <w:r w:rsidR="005A72CD" w:rsidRPr="00A161AC">
        <w:t>translat</w:t>
      </w:r>
      <w:r w:rsidRPr="00A161AC">
        <w:t xml:space="preserve">ed </w:t>
      </w:r>
      <w:r w:rsidR="00867F6F" w:rsidRPr="00A161AC">
        <w:t xml:space="preserve">into a </w:t>
      </w:r>
      <w:r w:rsidR="00E501A4" w:rsidRPr="00A161AC">
        <w:t>“segment”</w:t>
      </w:r>
      <w:r w:rsidR="00701934" w:rsidRPr="00A161AC">
        <w:t xml:space="preserve">. This segment is determined </w:t>
      </w:r>
      <w:r w:rsidR="00B058B9" w:rsidRPr="00A161AC">
        <w:t xml:space="preserve">by </w:t>
      </w:r>
      <w:r w:rsidR="00191871" w:rsidRPr="00A161AC">
        <w:t xml:space="preserve">taking the provisional delivery score and </w:t>
      </w:r>
      <w:r w:rsidR="00B058B9" w:rsidRPr="00A161AC">
        <w:t xml:space="preserve">considering </w:t>
      </w:r>
      <w:r w:rsidR="00FF4D60" w:rsidRPr="00A161AC">
        <w:t>the capability of the provider or ICB</w:t>
      </w:r>
      <w:r w:rsidR="00075AEC" w:rsidRPr="00A161AC">
        <w:t xml:space="preserve"> to address delivery </w:t>
      </w:r>
      <w:r w:rsidR="00BE4691" w:rsidRPr="00A161AC">
        <w:t>performance</w:t>
      </w:r>
      <w:r w:rsidR="00191871" w:rsidRPr="00A161AC">
        <w:t xml:space="preserve"> issues</w:t>
      </w:r>
      <w:r w:rsidR="00FF4D60" w:rsidRPr="00A161AC">
        <w:t xml:space="preserve">, its improvement trajectory, the role it is playing in supporting its broader NHS system partners, and whether challenges are complex and long-standing. The capability for ICBs includes consideration of their annual capability ratings (see section </w:t>
      </w:r>
      <w:r w:rsidR="009535DB" w:rsidRPr="00A161AC">
        <w:t>5</w:t>
      </w:r>
      <w:r w:rsidR="00FF4D60" w:rsidRPr="00A161AC">
        <w:t>.</w:t>
      </w:r>
      <w:r w:rsidR="00860142" w:rsidRPr="00A161AC">
        <w:t>2</w:t>
      </w:r>
      <w:r w:rsidR="00FF4D60" w:rsidRPr="00A161AC">
        <w:t xml:space="preserve">) and for providers </w:t>
      </w:r>
      <w:r w:rsidR="004B6F5D" w:rsidRPr="00A161AC">
        <w:t xml:space="preserve">this </w:t>
      </w:r>
      <w:r w:rsidR="00FF4D60" w:rsidRPr="00A161AC">
        <w:t xml:space="preserve">includes </w:t>
      </w:r>
      <w:r w:rsidR="0051023B" w:rsidRPr="00A161AC">
        <w:t xml:space="preserve">a </w:t>
      </w:r>
      <w:r w:rsidR="105C7016" w:rsidRPr="00A161AC">
        <w:t>view of</w:t>
      </w:r>
      <w:r w:rsidR="0051023B" w:rsidRPr="00A161AC">
        <w:t xml:space="preserve"> their capability (see section </w:t>
      </w:r>
      <w:r w:rsidR="009535DB" w:rsidRPr="00A161AC">
        <w:t>5</w:t>
      </w:r>
      <w:r w:rsidR="0051023B" w:rsidRPr="00A161AC">
        <w:t>.</w:t>
      </w:r>
      <w:r w:rsidR="00860142" w:rsidRPr="00A161AC">
        <w:t>3</w:t>
      </w:r>
      <w:r w:rsidR="00F26DFE" w:rsidRPr="00A161AC">
        <w:t>)</w:t>
      </w:r>
      <w:r w:rsidR="0051023B" w:rsidRPr="00A161AC">
        <w:t>.</w:t>
      </w:r>
      <w:r w:rsidR="006E6E88" w:rsidRPr="00A161AC">
        <w:t xml:space="preserve"> Where </w:t>
      </w:r>
      <w:r w:rsidR="008B6304" w:rsidRPr="00A161AC">
        <w:t xml:space="preserve">an organisation has high levels of capability </w:t>
      </w:r>
      <w:r w:rsidR="00022C4A" w:rsidRPr="00A161AC">
        <w:t xml:space="preserve">their </w:t>
      </w:r>
      <w:r w:rsidR="0073576F" w:rsidRPr="00A161AC">
        <w:t xml:space="preserve">segment may be </w:t>
      </w:r>
      <w:r w:rsidR="006A4F9C" w:rsidRPr="00A161AC">
        <w:t xml:space="preserve">higher than their provisional delivery score </w:t>
      </w:r>
      <w:r w:rsidR="006A4F9C" w:rsidRPr="00A161AC">
        <w:lastRenderedPageBreak/>
        <w:t>suggests</w:t>
      </w:r>
      <w:r w:rsidR="0091779F" w:rsidRPr="00A161AC">
        <w:t xml:space="preserve">, to recognise the confidence in the organisation to address the issues identified. </w:t>
      </w:r>
      <w:r w:rsidR="00215282" w:rsidRPr="00A161AC">
        <w:t xml:space="preserve">Equally where capability is lower the </w:t>
      </w:r>
      <w:r w:rsidR="0007794A" w:rsidRPr="00A161AC">
        <w:t>segment may be lower than the provisional delivery score</w:t>
      </w:r>
      <w:r w:rsidR="00597A9F" w:rsidRPr="00A161AC">
        <w:t>.</w:t>
      </w:r>
    </w:p>
    <w:p w14:paraId="5640166B" w14:textId="77777777" w:rsidR="002E3233" w:rsidRPr="00A161AC" w:rsidRDefault="002E3233" w:rsidP="00E322F3">
      <w:pPr>
        <w:pStyle w:val="Numberedlist"/>
        <w:numPr>
          <w:ilvl w:val="0"/>
          <w:numId w:val="0"/>
        </w:numPr>
        <w:spacing w:after="0"/>
        <w:ind w:left="714" w:hanging="357"/>
      </w:pPr>
    </w:p>
    <w:p w14:paraId="1AD4B6A3" w14:textId="7225AE70" w:rsidR="00FF4D60" w:rsidRPr="00A161AC" w:rsidRDefault="00597A9F" w:rsidP="00E322F3">
      <w:pPr>
        <w:pStyle w:val="Numberedlist"/>
        <w:spacing w:after="0"/>
        <w:ind w:left="714" w:hanging="357"/>
      </w:pPr>
      <w:r w:rsidRPr="00A161AC">
        <w:t xml:space="preserve">The </w:t>
      </w:r>
      <w:r w:rsidR="00627118" w:rsidRPr="00A161AC">
        <w:t xml:space="preserve">provisional segment will be considered through </w:t>
      </w:r>
      <w:r w:rsidR="002E3233" w:rsidRPr="00A161AC">
        <w:t>our</w:t>
      </w:r>
      <w:r w:rsidR="00627118" w:rsidRPr="00A161AC">
        <w:t xml:space="preserve"> </w:t>
      </w:r>
      <w:r w:rsidR="00DF6D3F" w:rsidRPr="00A161AC">
        <w:t>governance structures</w:t>
      </w:r>
      <w:r w:rsidR="001B219A" w:rsidRPr="00A161AC">
        <w:t xml:space="preserve"> to ensure that the decision is robust, </w:t>
      </w:r>
      <w:r w:rsidR="002E3233" w:rsidRPr="00A161AC">
        <w:t>proportionate</w:t>
      </w:r>
      <w:r w:rsidR="001B219A" w:rsidRPr="00A161AC">
        <w:t xml:space="preserve"> and defensible. </w:t>
      </w:r>
      <w:r w:rsidR="000E7651" w:rsidRPr="00A161AC">
        <w:t xml:space="preserve">Once </w:t>
      </w:r>
      <w:r w:rsidR="002E3233" w:rsidRPr="00A161AC">
        <w:t>we are</w:t>
      </w:r>
      <w:r w:rsidR="000E7651" w:rsidRPr="00A161AC">
        <w:t xml:space="preserve"> satisfied </w:t>
      </w:r>
      <w:r w:rsidR="002E3233" w:rsidRPr="00A161AC">
        <w:t>with the final segmentation decision this decision is officially conveyed to the organisation and published on our website.</w:t>
      </w:r>
    </w:p>
    <w:p w14:paraId="1F865300" w14:textId="77777777" w:rsidR="002E3233" w:rsidRPr="00A161AC" w:rsidRDefault="002E3233" w:rsidP="00E322F3">
      <w:pPr>
        <w:pStyle w:val="Numberedlist"/>
        <w:numPr>
          <w:ilvl w:val="0"/>
          <w:numId w:val="0"/>
        </w:numPr>
        <w:spacing w:after="0"/>
        <w:ind w:left="714" w:hanging="357"/>
      </w:pPr>
    </w:p>
    <w:p w14:paraId="59A41BA7" w14:textId="34F0E2A1" w:rsidR="00FF4D60" w:rsidRPr="00A161AC" w:rsidRDefault="002E3233" w:rsidP="00E322F3">
      <w:pPr>
        <w:pStyle w:val="Numberedlist"/>
        <w:spacing w:after="0"/>
        <w:ind w:left="714" w:hanging="357"/>
      </w:pPr>
      <w:r w:rsidRPr="00A161AC">
        <w:t>S</w:t>
      </w:r>
      <w:r w:rsidR="00FF4D60" w:rsidRPr="00A161AC">
        <w:t xml:space="preserve">egments are reviewed at least quarterly as part of a review meeting but can be updated at any time based on emerging information. For individual providers, their ICB may make recommendations on segments based on an evaluation of support or intervention needs and confidence in plans to deliver improvement. We will </w:t>
      </w:r>
      <w:r w:rsidRPr="00A161AC">
        <w:t>consider</w:t>
      </w:r>
      <w:r w:rsidR="00FF4D60" w:rsidRPr="00A161AC">
        <w:t xml:space="preserve"> the advice from the ICB but </w:t>
      </w:r>
      <w:r w:rsidRPr="00A161AC">
        <w:t xml:space="preserve">we </w:t>
      </w:r>
      <w:r w:rsidR="00FF4D60" w:rsidRPr="00A161AC">
        <w:t xml:space="preserve">are responsible for making the final decision on the segment and taking enforcement action </w:t>
      </w:r>
      <w:r w:rsidR="0021628B" w:rsidRPr="00A161AC">
        <w:t>if this is</w:t>
      </w:r>
      <w:r w:rsidR="00FF4D60" w:rsidRPr="00A161AC">
        <w:t xml:space="preserve"> required.</w:t>
      </w:r>
    </w:p>
    <w:p w14:paraId="07C5C7DD" w14:textId="77777777" w:rsidR="00FF4D60" w:rsidRPr="00A161AC" w:rsidRDefault="00FF4D60" w:rsidP="00E322F3">
      <w:pPr>
        <w:pStyle w:val="Numberedlist"/>
        <w:numPr>
          <w:ilvl w:val="0"/>
          <w:numId w:val="0"/>
        </w:numPr>
        <w:spacing w:after="0"/>
        <w:ind w:left="714" w:hanging="357"/>
      </w:pPr>
    </w:p>
    <w:p w14:paraId="499115DE" w14:textId="43DF3100" w:rsidR="00FF4D60" w:rsidRPr="00A161AC" w:rsidRDefault="00FF4D60" w:rsidP="00E322F3">
      <w:pPr>
        <w:pStyle w:val="Numberedlist"/>
        <w:spacing w:after="0"/>
        <w:ind w:left="714" w:hanging="357"/>
      </w:pPr>
      <w:r w:rsidRPr="00A161AC">
        <w:t>ICBs and providers that are situated in a high-functioning NHS system and have no specific needs or challenges are likely to be assigned a segment of 1 or 2. ICBs and providers that are assigned a segment of 1 are expected to offer peer-to-peer support and share best practices with other organisations to support collective improvement.</w:t>
      </w:r>
      <w:r w:rsidR="00EB27DD" w:rsidRPr="00A161AC">
        <w:t xml:space="preserve"> </w:t>
      </w:r>
    </w:p>
    <w:p w14:paraId="5E00C268" w14:textId="77777777" w:rsidR="00FF4D60" w:rsidRPr="00A161AC" w:rsidRDefault="00FF4D60" w:rsidP="00E322F3">
      <w:pPr>
        <w:pStyle w:val="Numberedlist"/>
        <w:numPr>
          <w:ilvl w:val="0"/>
          <w:numId w:val="0"/>
        </w:numPr>
        <w:spacing w:after="0"/>
        <w:ind w:left="714" w:hanging="357"/>
      </w:pPr>
    </w:p>
    <w:p w14:paraId="5E2F0B09" w14:textId="2CCF023B" w:rsidR="00FF4D60" w:rsidRPr="00A161AC" w:rsidRDefault="00FF4D60" w:rsidP="00E322F3">
      <w:pPr>
        <w:pStyle w:val="Numberedlist"/>
        <w:spacing w:after="0"/>
        <w:ind w:left="714" w:hanging="357"/>
      </w:pPr>
      <w:r w:rsidRPr="00A161AC">
        <w:t>Providers and ICBs that have complex and/or serious challenges and support or intervention needs, or those operating within challenged NHS systems requiring a coordinated system-wide response are likely to be assigned segments of 3 or 4, depending on the scale and nature of the challenges. They may be subject to enforcement action, enhanced oversight and, depending on the nature of the problem(s) identified, additional reporting requirements and financial controls may be introduced.</w:t>
      </w:r>
    </w:p>
    <w:p w14:paraId="4DC750C1" w14:textId="77777777" w:rsidR="00FF4D60" w:rsidRPr="00A161AC" w:rsidRDefault="00FF4D60" w:rsidP="00FF4D60">
      <w:pPr>
        <w:spacing w:after="0" w:line="240" w:lineRule="auto"/>
        <w:textboxTightWrap w:val="none"/>
      </w:pPr>
      <w:r w:rsidRPr="00A161AC">
        <w:br w:type="page"/>
      </w:r>
    </w:p>
    <w:p w14:paraId="7271D8F2" w14:textId="20AF2FB1" w:rsidR="00FF4D60" w:rsidRPr="00A161AC" w:rsidRDefault="00FF4D60" w:rsidP="00FF4D60">
      <w:pPr>
        <w:spacing w:after="0" w:line="240" w:lineRule="auto"/>
        <w:textboxTightWrap w:val="none"/>
        <w:rPr>
          <w:rStyle w:val="BodyTextChar"/>
          <w:bCs/>
          <w:sz w:val="22"/>
          <w:szCs w:val="22"/>
        </w:rPr>
      </w:pPr>
    </w:p>
    <w:tbl>
      <w:tblPr>
        <w:tblpPr w:leftFromText="180" w:rightFromText="180" w:vertAnchor="page" w:horzAnchor="margin" w:tblpXSpec="center" w:tblpY="1351"/>
        <w:tblW w:w="11053" w:type="dxa"/>
        <w:tblCellMar>
          <w:left w:w="0" w:type="dxa"/>
          <w:right w:w="0" w:type="dxa"/>
        </w:tblCellMar>
        <w:tblLook w:val="0420" w:firstRow="1" w:lastRow="0" w:firstColumn="0" w:lastColumn="0" w:noHBand="0" w:noVBand="1"/>
      </w:tblPr>
      <w:tblGrid>
        <w:gridCol w:w="1289"/>
        <w:gridCol w:w="2495"/>
        <w:gridCol w:w="2390"/>
        <w:gridCol w:w="2443"/>
        <w:gridCol w:w="2436"/>
      </w:tblGrid>
      <w:tr w:rsidR="00E322F3" w:rsidRPr="00A161AC" w14:paraId="349BDC6E" w14:textId="77777777" w:rsidTr="00E322F3">
        <w:trPr>
          <w:trHeight w:val="97"/>
        </w:trPr>
        <w:tc>
          <w:tcPr>
            <w:tcW w:w="1289" w:type="dxa"/>
            <w:tcBorders>
              <w:top w:val="single" w:sz="8" w:space="0" w:color="231F20"/>
              <w:left w:val="single" w:sz="8" w:space="0" w:color="231F20"/>
              <w:bottom w:val="single" w:sz="24" w:space="0" w:color="231F20"/>
              <w:right w:val="single" w:sz="8" w:space="0" w:color="231F20"/>
            </w:tcBorders>
            <w:shd w:val="clear" w:color="auto" w:fill="003087"/>
            <w:tcMar>
              <w:top w:w="72" w:type="dxa"/>
              <w:left w:w="144" w:type="dxa"/>
              <w:bottom w:w="72" w:type="dxa"/>
              <w:right w:w="144" w:type="dxa"/>
            </w:tcMar>
            <w:vAlign w:val="center"/>
            <w:hideMark/>
          </w:tcPr>
          <w:p w14:paraId="7C002694" w14:textId="77777777" w:rsidR="00E322F3" w:rsidRPr="00A161AC" w:rsidRDefault="00E322F3" w:rsidP="00E322F3">
            <w:pPr>
              <w:pStyle w:val="BodyText2"/>
              <w:spacing w:after="0" w:line="240" w:lineRule="auto"/>
              <w:jc w:val="center"/>
              <w:rPr>
                <w:color w:val="FFFFFF" w:themeColor="text1"/>
                <w:sz w:val="22"/>
                <w:szCs w:val="22"/>
              </w:rPr>
            </w:pPr>
            <w:r w:rsidRPr="00A161AC">
              <w:rPr>
                <w:b/>
                <w:color w:val="FFFFFF" w:themeColor="text1"/>
                <w:sz w:val="22"/>
                <w:szCs w:val="22"/>
              </w:rPr>
              <w:t>S</w:t>
            </w:r>
            <w:r w:rsidRPr="00A161AC">
              <w:rPr>
                <w:b/>
                <w:color w:val="FFFFFF" w:themeColor="text1"/>
              </w:rPr>
              <w:t>egment</w:t>
            </w:r>
          </w:p>
        </w:tc>
        <w:tc>
          <w:tcPr>
            <w:tcW w:w="2495" w:type="dxa"/>
            <w:tcBorders>
              <w:top w:val="single" w:sz="8" w:space="0" w:color="231F20"/>
              <w:left w:val="single" w:sz="8" w:space="0" w:color="231F20"/>
              <w:bottom w:val="single" w:sz="24" w:space="0" w:color="231F20"/>
              <w:right w:val="single" w:sz="8" w:space="0" w:color="231F20"/>
            </w:tcBorders>
            <w:shd w:val="clear" w:color="auto" w:fill="003087"/>
            <w:tcMar>
              <w:top w:w="72" w:type="dxa"/>
              <w:left w:w="144" w:type="dxa"/>
              <w:bottom w:w="72" w:type="dxa"/>
              <w:right w:w="144" w:type="dxa"/>
            </w:tcMar>
            <w:vAlign w:val="center"/>
            <w:hideMark/>
          </w:tcPr>
          <w:p w14:paraId="2CD4EDA8" w14:textId="77777777" w:rsidR="00E322F3" w:rsidRPr="00A161AC" w:rsidRDefault="00E322F3" w:rsidP="00E322F3">
            <w:pPr>
              <w:pStyle w:val="BodyText2"/>
              <w:spacing w:after="0" w:line="240" w:lineRule="auto"/>
              <w:jc w:val="center"/>
              <w:rPr>
                <w:color w:val="FFFFFF" w:themeColor="text1"/>
                <w:sz w:val="22"/>
                <w:szCs w:val="22"/>
              </w:rPr>
            </w:pPr>
            <w:r w:rsidRPr="00A161AC">
              <w:rPr>
                <w:b/>
                <w:color w:val="FFFFFF" w:themeColor="text1"/>
                <w:sz w:val="22"/>
                <w:szCs w:val="22"/>
              </w:rPr>
              <w:t>Description</w:t>
            </w:r>
          </w:p>
        </w:tc>
        <w:tc>
          <w:tcPr>
            <w:tcW w:w="2390" w:type="dxa"/>
            <w:tcBorders>
              <w:top w:val="single" w:sz="8" w:space="0" w:color="231F20"/>
              <w:left w:val="single" w:sz="8" w:space="0" w:color="231F20"/>
              <w:bottom w:val="single" w:sz="24" w:space="0" w:color="231F20"/>
              <w:right w:val="single" w:sz="8" w:space="0" w:color="231F20"/>
            </w:tcBorders>
            <w:shd w:val="clear" w:color="auto" w:fill="003087"/>
            <w:tcMar>
              <w:top w:w="72" w:type="dxa"/>
              <w:left w:w="144" w:type="dxa"/>
              <w:bottom w:w="72" w:type="dxa"/>
              <w:right w:w="144" w:type="dxa"/>
            </w:tcMar>
            <w:vAlign w:val="center"/>
            <w:hideMark/>
          </w:tcPr>
          <w:p w14:paraId="7FAE2377" w14:textId="77777777" w:rsidR="00E322F3" w:rsidRPr="00A161AC" w:rsidRDefault="00E322F3" w:rsidP="00E322F3">
            <w:pPr>
              <w:pStyle w:val="BodyText2"/>
              <w:spacing w:after="0" w:line="240" w:lineRule="auto"/>
              <w:jc w:val="center"/>
              <w:rPr>
                <w:color w:val="FFFFFF" w:themeColor="text1"/>
                <w:sz w:val="22"/>
                <w:szCs w:val="22"/>
              </w:rPr>
            </w:pPr>
            <w:r w:rsidRPr="00A161AC">
              <w:rPr>
                <w:b/>
                <w:color w:val="FFFFFF" w:themeColor="text1"/>
                <w:sz w:val="22"/>
                <w:szCs w:val="22"/>
              </w:rPr>
              <w:t>How we will support</w:t>
            </w:r>
          </w:p>
        </w:tc>
        <w:tc>
          <w:tcPr>
            <w:tcW w:w="2443" w:type="dxa"/>
            <w:tcBorders>
              <w:top w:val="single" w:sz="8" w:space="0" w:color="231F20"/>
              <w:left w:val="single" w:sz="8" w:space="0" w:color="231F20"/>
              <w:bottom w:val="single" w:sz="24" w:space="0" w:color="231F20"/>
              <w:right w:val="single" w:sz="8" w:space="0" w:color="231F20"/>
            </w:tcBorders>
            <w:shd w:val="clear" w:color="auto" w:fill="003087"/>
            <w:vAlign w:val="center"/>
          </w:tcPr>
          <w:p w14:paraId="5693797A" w14:textId="77777777" w:rsidR="00E322F3" w:rsidRPr="00A161AC" w:rsidRDefault="00E322F3" w:rsidP="00E322F3">
            <w:pPr>
              <w:pStyle w:val="BodyText2"/>
              <w:spacing w:after="0" w:line="240" w:lineRule="auto"/>
              <w:ind w:left="170"/>
              <w:jc w:val="center"/>
              <w:rPr>
                <w:b/>
                <w:color w:val="FFFFFF" w:themeColor="text1"/>
                <w:sz w:val="22"/>
                <w:szCs w:val="22"/>
              </w:rPr>
            </w:pPr>
            <w:r w:rsidRPr="00A161AC">
              <w:rPr>
                <w:b/>
                <w:color w:val="FFFFFF" w:themeColor="text1"/>
                <w:sz w:val="22"/>
                <w:szCs w:val="22"/>
              </w:rPr>
              <w:t>How we will drive improvement</w:t>
            </w:r>
          </w:p>
        </w:tc>
        <w:tc>
          <w:tcPr>
            <w:tcW w:w="2436" w:type="dxa"/>
            <w:tcBorders>
              <w:top w:val="single" w:sz="8" w:space="0" w:color="231F20"/>
              <w:left w:val="single" w:sz="8" w:space="0" w:color="231F20"/>
              <w:bottom w:val="single" w:sz="24" w:space="0" w:color="231F20"/>
              <w:right w:val="single" w:sz="8" w:space="0" w:color="231F20"/>
            </w:tcBorders>
            <w:shd w:val="clear" w:color="auto" w:fill="003087"/>
            <w:vAlign w:val="center"/>
          </w:tcPr>
          <w:p w14:paraId="72A810DD" w14:textId="77777777" w:rsidR="00E322F3" w:rsidRPr="00A161AC" w:rsidRDefault="00E322F3" w:rsidP="00E322F3">
            <w:pPr>
              <w:pStyle w:val="BodyText2"/>
              <w:spacing w:after="0" w:line="240" w:lineRule="auto"/>
              <w:ind w:left="170"/>
              <w:jc w:val="center"/>
              <w:rPr>
                <w:b/>
                <w:color w:val="FFFFFF" w:themeColor="text1"/>
                <w:sz w:val="22"/>
                <w:szCs w:val="22"/>
              </w:rPr>
            </w:pPr>
            <w:r w:rsidRPr="00A161AC">
              <w:rPr>
                <w:b/>
                <w:color w:val="FFFFFF" w:themeColor="text1"/>
                <w:sz w:val="22"/>
                <w:szCs w:val="22"/>
              </w:rPr>
              <w:t>How we will intervene</w:t>
            </w:r>
          </w:p>
        </w:tc>
      </w:tr>
      <w:tr w:rsidR="00E322F3" w:rsidRPr="00A161AC" w14:paraId="3607830B" w14:textId="77777777" w:rsidTr="00E322F3">
        <w:trPr>
          <w:trHeight w:val="2601"/>
        </w:trPr>
        <w:tc>
          <w:tcPr>
            <w:tcW w:w="1289" w:type="dxa"/>
            <w:tcBorders>
              <w:top w:val="single" w:sz="24"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vAlign w:val="center"/>
          </w:tcPr>
          <w:p w14:paraId="5A644266" w14:textId="77777777" w:rsidR="00E322F3" w:rsidRPr="00A161AC" w:rsidRDefault="00E322F3" w:rsidP="00E322F3">
            <w:pPr>
              <w:pStyle w:val="BodyText2"/>
              <w:spacing w:after="0" w:line="240" w:lineRule="auto"/>
              <w:jc w:val="center"/>
              <w:rPr>
                <w:sz w:val="22"/>
                <w:szCs w:val="22"/>
              </w:rPr>
            </w:pPr>
            <w:r w:rsidRPr="00A161AC">
              <w:rPr>
                <w:sz w:val="22"/>
                <w:szCs w:val="22"/>
              </w:rPr>
              <w:t>1</w:t>
            </w:r>
          </w:p>
        </w:tc>
        <w:tc>
          <w:tcPr>
            <w:tcW w:w="2495" w:type="dxa"/>
            <w:tcBorders>
              <w:top w:val="single" w:sz="24"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5354261C" w14:textId="77777777" w:rsidR="00E322F3" w:rsidRPr="00A161AC" w:rsidRDefault="00E322F3" w:rsidP="00E322F3">
            <w:pPr>
              <w:pStyle w:val="BodyText2"/>
              <w:spacing w:after="0" w:line="240" w:lineRule="auto"/>
              <w:rPr>
                <w:sz w:val="22"/>
                <w:szCs w:val="22"/>
              </w:rPr>
            </w:pPr>
            <w:r w:rsidRPr="00A161AC">
              <w:rPr>
                <w:sz w:val="22"/>
                <w:szCs w:val="22"/>
              </w:rPr>
              <w:t>Consistently high-performing across domains, delivering against plans and operating in a high-functioning NHS system. Has a track record of successful delivery or effective recovery.</w:t>
            </w:r>
          </w:p>
        </w:tc>
        <w:tc>
          <w:tcPr>
            <w:tcW w:w="2390" w:type="dxa"/>
            <w:tcBorders>
              <w:top w:val="single" w:sz="24"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5E46DEF4" w14:textId="77777777" w:rsidR="00E322F3" w:rsidRPr="00A161AC" w:rsidRDefault="00E322F3" w:rsidP="00E322F3">
            <w:pPr>
              <w:pStyle w:val="BodyText2"/>
              <w:spacing w:after="0" w:line="240" w:lineRule="auto"/>
              <w:rPr>
                <w:sz w:val="22"/>
                <w:szCs w:val="22"/>
              </w:rPr>
            </w:pPr>
            <w:r w:rsidRPr="00A161AC">
              <w:rPr>
                <w:sz w:val="22"/>
                <w:szCs w:val="22"/>
              </w:rPr>
              <w:t>No Specific support or intervention needs are identified. Expected to offer peer support to others or support the development of best practice tools.</w:t>
            </w:r>
          </w:p>
        </w:tc>
        <w:tc>
          <w:tcPr>
            <w:tcW w:w="2443" w:type="dxa"/>
            <w:tcBorders>
              <w:top w:val="single" w:sz="24" w:space="0" w:color="231F20"/>
              <w:left w:val="single" w:sz="8" w:space="0" w:color="231F20"/>
              <w:bottom w:val="single" w:sz="8" w:space="0" w:color="231F20"/>
              <w:right w:val="single" w:sz="8" w:space="0" w:color="231F20"/>
            </w:tcBorders>
          </w:tcPr>
          <w:p w14:paraId="5FE42E39" w14:textId="77777777" w:rsidR="00E322F3" w:rsidRPr="00A161AC" w:rsidRDefault="00E322F3" w:rsidP="00E322F3">
            <w:pPr>
              <w:pStyle w:val="BodyText2"/>
              <w:spacing w:after="0" w:line="240" w:lineRule="auto"/>
              <w:ind w:left="170"/>
              <w:rPr>
                <w:sz w:val="22"/>
                <w:szCs w:val="22"/>
              </w:rPr>
            </w:pPr>
            <w:r w:rsidRPr="00A161AC">
              <w:rPr>
                <w:sz w:val="22"/>
                <w:szCs w:val="22"/>
              </w:rPr>
              <w:t>Will work alongside us to develop best practices and improvement initiatives in areas in which the organisation excels.  May be asked to work with us to provide expert challenge to other organisations.</w:t>
            </w:r>
          </w:p>
        </w:tc>
        <w:tc>
          <w:tcPr>
            <w:tcW w:w="2436" w:type="dxa"/>
            <w:tcBorders>
              <w:top w:val="single" w:sz="24" w:space="0" w:color="231F20"/>
              <w:left w:val="single" w:sz="8" w:space="0" w:color="231F20"/>
              <w:bottom w:val="single" w:sz="8" w:space="0" w:color="231F20"/>
              <w:right w:val="single" w:sz="8" w:space="0" w:color="231F20"/>
            </w:tcBorders>
          </w:tcPr>
          <w:p w14:paraId="4FCE3D03" w14:textId="77777777" w:rsidR="00E322F3" w:rsidRPr="00A161AC" w:rsidRDefault="00E322F3" w:rsidP="00E322F3">
            <w:pPr>
              <w:pStyle w:val="BodyText2"/>
              <w:spacing w:after="0" w:line="240" w:lineRule="auto"/>
              <w:ind w:left="170"/>
              <w:rPr>
                <w:sz w:val="22"/>
                <w:szCs w:val="22"/>
              </w:rPr>
            </w:pPr>
            <w:r w:rsidRPr="00A161AC">
              <w:rPr>
                <w:sz w:val="22"/>
                <w:szCs w:val="22"/>
              </w:rPr>
              <w:t>The use of our enforcement powers is not compatible with this segment. Where enforcement action is required, the organisation will be assigned a delivery segment of 2 or more.</w:t>
            </w:r>
          </w:p>
        </w:tc>
      </w:tr>
      <w:tr w:rsidR="00E322F3" w:rsidRPr="00A161AC" w14:paraId="12344785" w14:textId="77777777" w:rsidTr="00E322F3">
        <w:trPr>
          <w:trHeight w:val="2065"/>
        </w:trPr>
        <w:tc>
          <w:tcPr>
            <w:tcW w:w="1289"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vAlign w:val="center"/>
          </w:tcPr>
          <w:p w14:paraId="593B0680" w14:textId="77777777" w:rsidR="00E322F3" w:rsidRPr="00A161AC" w:rsidRDefault="00E322F3" w:rsidP="00E322F3">
            <w:pPr>
              <w:pStyle w:val="BodyText2"/>
              <w:spacing w:after="0" w:line="240" w:lineRule="auto"/>
              <w:jc w:val="center"/>
              <w:rPr>
                <w:sz w:val="22"/>
                <w:szCs w:val="22"/>
              </w:rPr>
            </w:pPr>
            <w:r w:rsidRPr="00A161AC">
              <w:rPr>
                <w:sz w:val="22"/>
                <w:szCs w:val="22"/>
              </w:rPr>
              <w:t>2</w:t>
            </w:r>
          </w:p>
        </w:tc>
        <w:tc>
          <w:tcPr>
            <w:tcW w:w="2495"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48753D9B" w14:textId="77777777" w:rsidR="00E322F3" w:rsidRPr="00A161AC" w:rsidRDefault="00E322F3" w:rsidP="00E322F3">
            <w:pPr>
              <w:pStyle w:val="BodyText2"/>
              <w:spacing w:after="0" w:line="240" w:lineRule="auto"/>
              <w:rPr>
                <w:sz w:val="22"/>
                <w:szCs w:val="22"/>
              </w:rPr>
            </w:pPr>
            <w:r w:rsidRPr="00A161AC">
              <w:rPr>
                <w:sz w:val="22"/>
                <w:szCs w:val="22"/>
              </w:rPr>
              <w:t>Developing with confidence in the ability to improve further and operate in a high-functioning NHS system. Specific issues exist with plans in place that have the support of system partners.</w:t>
            </w:r>
          </w:p>
        </w:tc>
        <w:tc>
          <w:tcPr>
            <w:tcW w:w="2390"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54C94CBB" w14:textId="77777777" w:rsidR="00E322F3" w:rsidRPr="00A161AC" w:rsidRDefault="00E322F3" w:rsidP="00E322F3">
            <w:pPr>
              <w:pStyle w:val="BodyText2"/>
              <w:spacing w:after="0" w:line="240" w:lineRule="auto"/>
              <w:rPr>
                <w:sz w:val="22"/>
                <w:szCs w:val="22"/>
              </w:rPr>
            </w:pPr>
            <w:r w:rsidRPr="00A161AC">
              <w:rPr>
                <w:sz w:val="22"/>
                <w:szCs w:val="22"/>
              </w:rPr>
              <w:t>The organisation can diagnose and clearly explain its support needs which will be predominantly supplied locally. Our support on specific issues is provided where appropriate.</w:t>
            </w:r>
          </w:p>
        </w:tc>
        <w:tc>
          <w:tcPr>
            <w:tcW w:w="2443" w:type="dxa"/>
            <w:tcBorders>
              <w:top w:val="single" w:sz="8" w:space="0" w:color="231F20"/>
              <w:left w:val="single" w:sz="8" w:space="0" w:color="231F20"/>
              <w:bottom w:val="single" w:sz="8" w:space="0" w:color="231F20"/>
              <w:right w:val="single" w:sz="8" w:space="0" w:color="231F20"/>
            </w:tcBorders>
          </w:tcPr>
          <w:p w14:paraId="49919194" w14:textId="77777777" w:rsidR="00E322F3" w:rsidRPr="00A161AC" w:rsidRDefault="00E322F3" w:rsidP="00E322F3">
            <w:pPr>
              <w:pStyle w:val="BodyText2"/>
              <w:spacing w:after="0" w:line="240" w:lineRule="auto"/>
              <w:ind w:left="170"/>
              <w:rPr>
                <w:sz w:val="22"/>
                <w:szCs w:val="22"/>
              </w:rPr>
            </w:pPr>
            <w:r w:rsidRPr="00A161AC">
              <w:rPr>
                <w:sz w:val="22"/>
                <w:szCs w:val="22"/>
              </w:rPr>
              <w:t>Will work with us to support the development of best practices in areas of high performance. Targeted support aimed at improving specific pathways where issues have been diagnosed.</w:t>
            </w:r>
          </w:p>
        </w:tc>
        <w:tc>
          <w:tcPr>
            <w:tcW w:w="2436" w:type="dxa"/>
            <w:tcBorders>
              <w:top w:val="single" w:sz="8" w:space="0" w:color="231F20"/>
              <w:left w:val="single" w:sz="8" w:space="0" w:color="231F20"/>
              <w:bottom w:val="single" w:sz="8" w:space="0" w:color="231F20"/>
              <w:right w:val="single" w:sz="8" w:space="0" w:color="231F20"/>
            </w:tcBorders>
          </w:tcPr>
          <w:p w14:paraId="708AA6F7" w14:textId="77777777" w:rsidR="00E322F3" w:rsidRPr="00A161AC" w:rsidRDefault="00E322F3" w:rsidP="00E322F3">
            <w:pPr>
              <w:pStyle w:val="BodyText2"/>
              <w:spacing w:after="0" w:line="240" w:lineRule="auto"/>
              <w:ind w:left="170"/>
              <w:rPr>
                <w:sz w:val="22"/>
                <w:szCs w:val="22"/>
              </w:rPr>
            </w:pPr>
            <w:r w:rsidRPr="00A161AC">
              <w:rPr>
                <w:sz w:val="22"/>
                <w:szCs w:val="22"/>
              </w:rPr>
              <w:t>Due to the relatively high-performing nature of the organisation and its level of maturity, the use of enforcement powers will not be common but may be used where specific issues call for this approach.</w:t>
            </w:r>
          </w:p>
        </w:tc>
      </w:tr>
      <w:tr w:rsidR="00E322F3" w:rsidRPr="00A161AC" w14:paraId="2D009A87" w14:textId="77777777" w:rsidTr="00E322F3">
        <w:trPr>
          <w:trHeight w:val="1596"/>
        </w:trPr>
        <w:tc>
          <w:tcPr>
            <w:tcW w:w="1289"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vAlign w:val="center"/>
          </w:tcPr>
          <w:p w14:paraId="7AA88178" w14:textId="77777777" w:rsidR="00E322F3" w:rsidRPr="00A161AC" w:rsidRDefault="00E322F3" w:rsidP="00E322F3">
            <w:pPr>
              <w:pStyle w:val="BodyText2"/>
              <w:spacing w:after="0" w:line="240" w:lineRule="auto"/>
              <w:jc w:val="center"/>
              <w:rPr>
                <w:sz w:val="22"/>
                <w:szCs w:val="22"/>
              </w:rPr>
            </w:pPr>
            <w:r w:rsidRPr="00A161AC">
              <w:rPr>
                <w:sz w:val="22"/>
                <w:szCs w:val="22"/>
              </w:rPr>
              <w:t>3</w:t>
            </w:r>
          </w:p>
        </w:tc>
        <w:tc>
          <w:tcPr>
            <w:tcW w:w="2495"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2D7BD5BA" w14:textId="77777777" w:rsidR="00E322F3" w:rsidRPr="00A161AC" w:rsidRDefault="00E322F3" w:rsidP="00E322F3">
            <w:pPr>
              <w:pStyle w:val="BodyText2"/>
              <w:spacing w:after="0" w:line="240" w:lineRule="auto"/>
              <w:rPr>
                <w:sz w:val="22"/>
                <w:szCs w:val="22"/>
              </w:rPr>
            </w:pPr>
            <w:r w:rsidRPr="00A161AC">
              <w:rPr>
                <w:sz w:val="22"/>
                <w:szCs w:val="22"/>
              </w:rPr>
              <w:t>ICB or provider and/or wider system are significantly off-track in a range of areas. We lack confidence in the capability to respond to challenges without support.</w:t>
            </w:r>
          </w:p>
        </w:tc>
        <w:tc>
          <w:tcPr>
            <w:tcW w:w="2390"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02C3013D" w14:textId="77777777" w:rsidR="00E322F3" w:rsidRPr="00A161AC" w:rsidRDefault="00E322F3" w:rsidP="00E322F3">
            <w:pPr>
              <w:pStyle w:val="BodyText2"/>
              <w:spacing w:after="0" w:line="240" w:lineRule="auto"/>
              <w:rPr>
                <w:sz w:val="22"/>
                <w:szCs w:val="22"/>
              </w:rPr>
            </w:pPr>
            <w:r w:rsidRPr="00A161AC">
              <w:rPr>
                <w:sz w:val="22"/>
                <w:szCs w:val="22"/>
              </w:rPr>
              <w:t>Support needs are diagnosed together and delivered through local support offers, defined national support programmes and bespoke regional interventions.</w:t>
            </w:r>
          </w:p>
        </w:tc>
        <w:tc>
          <w:tcPr>
            <w:tcW w:w="2443" w:type="dxa"/>
            <w:tcBorders>
              <w:top w:val="single" w:sz="8" w:space="0" w:color="231F20"/>
              <w:left w:val="single" w:sz="8" w:space="0" w:color="231F20"/>
              <w:bottom w:val="single" w:sz="8" w:space="0" w:color="231F20"/>
              <w:right w:val="single" w:sz="8" w:space="0" w:color="231F20"/>
            </w:tcBorders>
          </w:tcPr>
          <w:p w14:paraId="0E132B46" w14:textId="77777777" w:rsidR="00E322F3" w:rsidRPr="00A161AC" w:rsidRDefault="00E322F3" w:rsidP="00E322F3">
            <w:pPr>
              <w:pStyle w:val="BodyText2"/>
              <w:spacing w:after="0" w:line="240" w:lineRule="auto"/>
              <w:ind w:left="170"/>
              <w:rPr>
                <w:sz w:val="22"/>
                <w:szCs w:val="22"/>
              </w:rPr>
            </w:pPr>
            <w:r w:rsidRPr="00A161AC">
              <w:rPr>
                <w:sz w:val="22"/>
                <w:szCs w:val="22"/>
              </w:rPr>
              <w:t>Receives enhanced scrutiny targeted at delivering improvement in the most challenged performance areas. Recovery KPIs and trajectories are agreed and proactively monitored.</w:t>
            </w:r>
          </w:p>
        </w:tc>
        <w:tc>
          <w:tcPr>
            <w:tcW w:w="2436" w:type="dxa"/>
            <w:tcBorders>
              <w:top w:val="single" w:sz="8" w:space="0" w:color="231F20"/>
              <w:left w:val="single" w:sz="8" w:space="0" w:color="231F20"/>
              <w:bottom w:val="single" w:sz="8" w:space="0" w:color="231F20"/>
              <w:right w:val="single" w:sz="8" w:space="0" w:color="231F20"/>
            </w:tcBorders>
          </w:tcPr>
          <w:p w14:paraId="106FD30F" w14:textId="77777777" w:rsidR="00E322F3" w:rsidRPr="00A161AC" w:rsidRDefault="00E322F3" w:rsidP="00E322F3">
            <w:pPr>
              <w:pStyle w:val="BodyText2"/>
              <w:spacing w:after="0" w:line="240" w:lineRule="auto"/>
              <w:ind w:left="170"/>
              <w:rPr>
                <w:sz w:val="22"/>
                <w:szCs w:val="22"/>
              </w:rPr>
            </w:pPr>
            <w:r w:rsidRPr="00A161AC">
              <w:rPr>
                <w:sz w:val="22"/>
                <w:szCs w:val="22"/>
              </w:rPr>
              <w:t xml:space="preserve">We may apply interventions and/or direct an organisation to take specific actions related to diagnosed issues. Enforcement action may be taken where required.  </w:t>
            </w:r>
          </w:p>
        </w:tc>
      </w:tr>
      <w:tr w:rsidR="00E322F3" w:rsidRPr="00A161AC" w14:paraId="3AB9A1A0" w14:textId="77777777" w:rsidTr="00E322F3">
        <w:trPr>
          <w:trHeight w:val="1243"/>
        </w:trPr>
        <w:tc>
          <w:tcPr>
            <w:tcW w:w="1289"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vAlign w:val="center"/>
          </w:tcPr>
          <w:p w14:paraId="0B34E9BD" w14:textId="77777777" w:rsidR="00E322F3" w:rsidRPr="00A161AC" w:rsidRDefault="00E322F3" w:rsidP="00E322F3">
            <w:pPr>
              <w:pStyle w:val="BodyText2"/>
              <w:spacing w:after="0" w:line="240" w:lineRule="auto"/>
              <w:jc w:val="center"/>
              <w:rPr>
                <w:sz w:val="22"/>
                <w:szCs w:val="22"/>
              </w:rPr>
            </w:pPr>
            <w:r w:rsidRPr="00A161AC">
              <w:rPr>
                <w:sz w:val="22"/>
                <w:szCs w:val="22"/>
              </w:rPr>
              <w:t>4</w:t>
            </w:r>
          </w:p>
        </w:tc>
        <w:tc>
          <w:tcPr>
            <w:tcW w:w="2495"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07F7B016" w14:textId="77777777" w:rsidR="00E322F3" w:rsidRPr="00A161AC" w:rsidRDefault="00E322F3" w:rsidP="00E322F3">
            <w:pPr>
              <w:pStyle w:val="BodyText2"/>
              <w:spacing w:after="0" w:line="240" w:lineRule="auto"/>
              <w:rPr>
                <w:sz w:val="22"/>
                <w:szCs w:val="22"/>
              </w:rPr>
            </w:pPr>
            <w:r w:rsidRPr="00A161AC">
              <w:rPr>
                <w:sz w:val="22"/>
                <w:szCs w:val="22"/>
              </w:rPr>
              <w:t xml:space="preserve">There is a serious failure of patient safety, quality, finance, leadership, or governance or the ICB or provider and NHS system face serious, long-standing and complex issues requiring intensive co-ordinated response </w:t>
            </w:r>
          </w:p>
        </w:tc>
        <w:tc>
          <w:tcPr>
            <w:tcW w:w="2390"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442AE6DA" w14:textId="77777777" w:rsidR="00E322F3" w:rsidRPr="00A161AC" w:rsidRDefault="00E322F3" w:rsidP="00E322F3">
            <w:pPr>
              <w:pStyle w:val="BodyText2"/>
              <w:spacing w:after="0" w:line="240" w:lineRule="auto"/>
              <w:rPr>
                <w:sz w:val="22"/>
                <w:szCs w:val="22"/>
              </w:rPr>
            </w:pPr>
            <w:r w:rsidRPr="00A161AC">
              <w:rPr>
                <w:sz w:val="22"/>
                <w:szCs w:val="22"/>
              </w:rPr>
              <w:t>The Recovery Support Programme supports the ICB or provider to undertake a full diagnostic to identify support needs and develop a full recovery plan in collaboration with system partners</w:t>
            </w:r>
          </w:p>
        </w:tc>
        <w:tc>
          <w:tcPr>
            <w:tcW w:w="2443" w:type="dxa"/>
            <w:tcBorders>
              <w:top w:val="single" w:sz="8" w:space="0" w:color="231F20"/>
              <w:left w:val="single" w:sz="8" w:space="0" w:color="231F20"/>
              <w:bottom w:val="single" w:sz="8" w:space="0" w:color="231F20"/>
              <w:right w:val="single" w:sz="8" w:space="0" w:color="231F20"/>
            </w:tcBorders>
          </w:tcPr>
          <w:p w14:paraId="3CE70F23" w14:textId="77777777" w:rsidR="00E322F3" w:rsidRPr="00A161AC" w:rsidRDefault="00E322F3" w:rsidP="00E322F3">
            <w:pPr>
              <w:pStyle w:val="BodyText2"/>
              <w:spacing w:after="0" w:line="240" w:lineRule="auto"/>
              <w:ind w:left="170"/>
              <w:rPr>
                <w:sz w:val="22"/>
                <w:szCs w:val="22"/>
              </w:rPr>
            </w:pPr>
            <w:r w:rsidRPr="00A161AC">
              <w:rPr>
                <w:sz w:val="22"/>
                <w:szCs w:val="22"/>
              </w:rPr>
              <w:t>We appoint an Improvement Director to intensively support the organisation to meet improvement goals. Intensive scrutiny to ensure delivery of the agreed recovery plan and meet improvement criteria to transition to segment 3.</w:t>
            </w:r>
          </w:p>
        </w:tc>
        <w:tc>
          <w:tcPr>
            <w:tcW w:w="2436" w:type="dxa"/>
            <w:tcBorders>
              <w:top w:val="single" w:sz="8" w:space="0" w:color="231F20"/>
              <w:left w:val="single" w:sz="8" w:space="0" w:color="231F20"/>
              <w:bottom w:val="single" w:sz="8" w:space="0" w:color="231F20"/>
              <w:right w:val="single" w:sz="8" w:space="0" w:color="231F20"/>
            </w:tcBorders>
          </w:tcPr>
          <w:p w14:paraId="073C98AC" w14:textId="77777777" w:rsidR="00E322F3" w:rsidRPr="00A161AC" w:rsidRDefault="00E322F3" w:rsidP="00E322F3">
            <w:pPr>
              <w:pStyle w:val="BodyText2"/>
              <w:spacing w:after="0" w:line="240" w:lineRule="auto"/>
              <w:ind w:left="170"/>
              <w:rPr>
                <w:sz w:val="22"/>
                <w:szCs w:val="22"/>
              </w:rPr>
            </w:pPr>
            <w:r w:rsidRPr="00A161AC">
              <w:rPr>
                <w:sz w:val="22"/>
                <w:szCs w:val="22"/>
              </w:rPr>
              <w:t xml:space="preserve">Entry into the Recovery Support Programme and possible use of enforcement powers is agreed through relevant executive governance. Transition out of Recovery Support Programme into segment 3 requires transition criteria to be met. </w:t>
            </w:r>
          </w:p>
        </w:tc>
      </w:tr>
    </w:tbl>
    <w:p w14:paraId="4C5BCE2F" w14:textId="77777777" w:rsidR="00E322F3" w:rsidRPr="00A161AC" w:rsidRDefault="00E322F3" w:rsidP="00FF4D60">
      <w:pPr>
        <w:spacing w:after="0" w:line="240" w:lineRule="auto"/>
        <w:textboxTightWrap w:val="none"/>
        <w:rPr>
          <w:bCs/>
          <w:sz w:val="22"/>
          <w:szCs w:val="22"/>
        </w:rPr>
      </w:pPr>
      <w:r w:rsidRPr="00A161AC">
        <w:rPr>
          <w:bCs/>
          <w:sz w:val="22"/>
          <w:szCs w:val="22"/>
        </w:rPr>
        <w:t xml:space="preserve"> </w:t>
      </w:r>
    </w:p>
    <w:p w14:paraId="4EFB1EEC" w14:textId="6D540BF6" w:rsidR="00FF4D60" w:rsidRPr="00A161AC" w:rsidRDefault="00E322F3" w:rsidP="00FF4D60">
      <w:pPr>
        <w:spacing w:after="0" w:line="240" w:lineRule="auto"/>
        <w:textboxTightWrap w:val="none"/>
        <w:rPr>
          <w:bCs/>
          <w:sz w:val="22"/>
          <w:szCs w:val="22"/>
        </w:rPr>
      </w:pPr>
      <w:r w:rsidRPr="00A161AC">
        <w:rPr>
          <w:rStyle w:val="BodyTextChar"/>
          <w:bCs/>
          <w:sz w:val="22"/>
          <w:szCs w:val="22"/>
        </w:rPr>
        <w:t>Table 3: Segment definitions and expectations</w:t>
      </w:r>
      <w:r w:rsidRPr="00A161AC">
        <w:rPr>
          <w:bCs/>
          <w:sz w:val="22"/>
          <w:szCs w:val="22"/>
        </w:rPr>
        <w:t xml:space="preserve"> </w:t>
      </w:r>
      <w:r w:rsidR="00FF4D60" w:rsidRPr="00A161AC">
        <w:rPr>
          <w:bCs/>
          <w:sz w:val="22"/>
          <w:szCs w:val="22"/>
        </w:rPr>
        <w:br w:type="page"/>
      </w:r>
    </w:p>
    <w:p w14:paraId="0C963191" w14:textId="77777777" w:rsidR="00144247" w:rsidRPr="00A161AC" w:rsidRDefault="00144247" w:rsidP="00FF4D60">
      <w:pPr>
        <w:pStyle w:val="Numberedlist"/>
        <w:numPr>
          <w:ilvl w:val="0"/>
          <w:numId w:val="0"/>
        </w:numPr>
        <w:rPr>
          <w:bCs/>
          <w:sz w:val="22"/>
          <w:szCs w:val="22"/>
        </w:rPr>
        <w:sectPr w:rsidR="00144247" w:rsidRPr="00A161AC" w:rsidSect="006E32A3">
          <w:pgSz w:w="11906" w:h="16838"/>
          <w:pgMar w:top="1021" w:right="1021" w:bottom="1021" w:left="1021" w:header="454" w:footer="556" w:gutter="0"/>
          <w:cols w:space="708"/>
          <w:docGrid w:linePitch="360"/>
        </w:sectPr>
      </w:pPr>
    </w:p>
    <w:p w14:paraId="787450EE" w14:textId="4EC02406" w:rsidR="00FF4D60" w:rsidRPr="00A161AC" w:rsidRDefault="00FF4D60" w:rsidP="00AB4B85">
      <w:pPr>
        <w:pStyle w:val="h3numbered"/>
        <w:numPr>
          <w:ilvl w:val="1"/>
          <w:numId w:val="30"/>
        </w:numPr>
      </w:pPr>
      <w:bookmarkStart w:id="17" w:name="_Toc160636210"/>
      <w:bookmarkStart w:id="18" w:name="_Toc163574925"/>
      <w:r w:rsidRPr="00A161AC">
        <w:lastRenderedPageBreak/>
        <w:t>Implementing support or intervention activity</w:t>
      </w:r>
      <w:bookmarkEnd w:id="17"/>
      <w:bookmarkEnd w:id="18"/>
    </w:p>
    <w:p w14:paraId="2151AD67" w14:textId="77777777" w:rsidR="00FF4D60" w:rsidRPr="00A161AC" w:rsidRDefault="00FF4D60" w:rsidP="0052579A">
      <w:pPr>
        <w:pStyle w:val="Numberedlist"/>
        <w:numPr>
          <w:ilvl w:val="0"/>
          <w:numId w:val="0"/>
        </w:numPr>
        <w:spacing w:after="0"/>
        <w:ind w:left="992"/>
      </w:pPr>
    </w:p>
    <w:p w14:paraId="55761478" w14:textId="77777777" w:rsidR="00FF4D60" w:rsidRPr="00A161AC" w:rsidRDefault="00FF4D60" w:rsidP="0052579A">
      <w:pPr>
        <w:pStyle w:val="Numberedlist"/>
        <w:spacing w:after="0"/>
        <w:ind w:left="714" w:hanging="357"/>
      </w:pPr>
      <w:r w:rsidRPr="00A161AC">
        <w:t>We provide direct support or intervention where:</w:t>
      </w:r>
    </w:p>
    <w:p w14:paraId="2DFC2772" w14:textId="77777777" w:rsidR="00FF4D60" w:rsidRPr="00A161AC" w:rsidRDefault="00FF4D60" w:rsidP="00AB4B85">
      <w:pPr>
        <w:pStyle w:val="bodytextnumbered11"/>
        <w:numPr>
          <w:ilvl w:val="5"/>
          <w:numId w:val="20"/>
        </w:numPr>
        <w:spacing w:after="0"/>
        <w:ind w:left="1775" w:hanging="357"/>
      </w:pPr>
      <w:r w:rsidRPr="00A161AC">
        <w:t>an ICB or provider has been assigned a delivery segment of 3 or 4, or if there is significant underperformance of a key national priority;</w:t>
      </w:r>
    </w:p>
    <w:p w14:paraId="3D8210D0" w14:textId="77777777" w:rsidR="00FF4D60" w:rsidRPr="00A161AC" w:rsidRDefault="00FF4D60" w:rsidP="00AB4B85">
      <w:pPr>
        <w:pStyle w:val="bodytextnumbered11"/>
        <w:numPr>
          <w:ilvl w:val="5"/>
          <w:numId w:val="20"/>
        </w:numPr>
        <w:spacing w:after="0"/>
        <w:ind w:left="1775" w:hanging="357"/>
      </w:pPr>
      <w:r w:rsidRPr="00A161AC">
        <w:t xml:space="preserve">an ICB or provider does not have the necessary capability to lead the requisite improvement; </w:t>
      </w:r>
    </w:p>
    <w:p w14:paraId="41CBD195" w14:textId="77777777" w:rsidR="00FF4D60" w:rsidRPr="00A161AC" w:rsidRDefault="00FF4D60" w:rsidP="00AB4B85">
      <w:pPr>
        <w:pStyle w:val="bodytextnumbered11"/>
        <w:numPr>
          <w:ilvl w:val="5"/>
          <w:numId w:val="20"/>
        </w:numPr>
        <w:spacing w:after="0"/>
        <w:ind w:left="1775" w:hanging="357"/>
      </w:pPr>
      <w:r w:rsidRPr="00A161AC">
        <w:t xml:space="preserve">improvement is not being seen at the pace or scale required; or </w:t>
      </w:r>
    </w:p>
    <w:p w14:paraId="433408B0" w14:textId="232B34E3" w:rsidR="00FF4D60" w:rsidRPr="00A161AC" w:rsidRDefault="00FF4D60" w:rsidP="00AB4B85">
      <w:pPr>
        <w:pStyle w:val="bodytextnumbered11"/>
        <w:numPr>
          <w:ilvl w:val="5"/>
          <w:numId w:val="20"/>
        </w:numPr>
        <w:spacing w:after="0"/>
        <w:ind w:left="1775" w:hanging="357"/>
      </w:pPr>
      <w:r w:rsidRPr="00A161AC">
        <w:t xml:space="preserve">there has been a </w:t>
      </w:r>
      <w:r w:rsidR="00AA2CF4" w:rsidRPr="00A161AC">
        <w:t>serious</w:t>
      </w:r>
      <w:r w:rsidRPr="00A161AC">
        <w:t xml:space="preserve"> failure of governance, leadership, finance, quality, or patient safety, or there are long-standing challenges. </w:t>
      </w:r>
    </w:p>
    <w:p w14:paraId="3E3E0D52" w14:textId="77777777" w:rsidR="00FF4D60" w:rsidRPr="00A161AC" w:rsidRDefault="00FF4D60" w:rsidP="0052579A">
      <w:pPr>
        <w:pStyle w:val="Numberedlist"/>
        <w:numPr>
          <w:ilvl w:val="0"/>
          <w:numId w:val="0"/>
        </w:numPr>
        <w:spacing w:after="0"/>
        <w:ind w:left="714" w:hanging="357"/>
      </w:pPr>
    </w:p>
    <w:p w14:paraId="6D91E445" w14:textId="77777777" w:rsidR="00FF4D60" w:rsidRPr="00A161AC" w:rsidRDefault="00FF4D60" w:rsidP="0052579A">
      <w:pPr>
        <w:pStyle w:val="Numberedlist"/>
        <w:spacing w:after="0"/>
        <w:ind w:left="714" w:hanging="357"/>
      </w:pPr>
      <w:r w:rsidRPr="00A161AC">
        <w:t xml:space="preserve">All organisations may benefit from the universal support offered under our </w:t>
      </w:r>
      <w:hyperlink r:id="rId38">
        <w:r w:rsidRPr="00A161AC">
          <w:rPr>
            <w:rStyle w:val="Hyperlink"/>
            <w:rFonts w:ascii="Arial" w:hAnsi="Arial"/>
          </w:rPr>
          <w:t>NHS IMPACT programme</w:t>
        </w:r>
      </w:hyperlink>
      <w:r w:rsidRPr="00A161AC">
        <w:t xml:space="preserve">. NHS IMPACT supports delivery of clinical and operational excellence, both by helping to develop the leadership and organisational capacity, capability and infrastructure to create the conditions for improvement, and delivering a small number of programmes to drive adoption and local adaptation of operational processes and clinical pathways that are proven to improve quality and productivity.  </w:t>
      </w:r>
    </w:p>
    <w:p w14:paraId="10EF10F9" w14:textId="77777777" w:rsidR="00FF4D60" w:rsidRPr="00A161AC" w:rsidRDefault="00FF4D60" w:rsidP="0052579A">
      <w:pPr>
        <w:pStyle w:val="Numberedlist"/>
        <w:numPr>
          <w:ilvl w:val="0"/>
          <w:numId w:val="0"/>
        </w:numPr>
        <w:spacing w:after="0"/>
        <w:ind w:left="714" w:hanging="357"/>
      </w:pPr>
    </w:p>
    <w:p w14:paraId="3E6AD522" w14:textId="019E56AA" w:rsidR="00FF4D60" w:rsidRPr="00A161AC" w:rsidRDefault="00FF4D60" w:rsidP="0052579A">
      <w:pPr>
        <w:pStyle w:val="Numberedlist"/>
        <w:spacing w:after="0"/>
        <w:ind w:left="714" w:hanging="357"/>
      </w:pPr>
      <w:r w:rsidRPr="00A161AC">
        <w:t xml:space="preserve">ICBs and providers with segments of 2 may receive support or intervention on specific areas of concern. </w:t>
      </w:r>
    </w:p>
    <w:p w14:paraId="237F476E" w14:textId="77777777" w:rsidR="00FF4D60" w:rsidRPr="00A161AC" w:rsidRDefault="00FF4D60" w:rsidP="0052579A">
      <w:pPr>
        <w:pStyle w:val="Numberedlist"/>
        <w:numPr>
          <w:ilvl w:val="0"/>
          <w:numId w:val="0"/>
        </w:numPr>
        <w:spacing w:after="0"/>
        <w:ind w:left="714" w:hanging="357"/>
      </w:pPr>
    </w:p>
    <w:p w14:paraId="64E404C6" w14:textId="4354477B" w:rsidR="00FF4D60" w:rsidRPr="00A161AC" w:rsidRDefault="00FF4D60" w:rsidP="0052579A">
      <w:pPr>
        <w:pStyle w:val="Numberedlist"/>
        <w:spacing w:after="0"/>
        <w:ind w:left="714" w:hanging="357"/>
      </w:pPr>
      <w:r w:rsidRPr="00A161AC">
        <w:t xml:space="preserve">Where an ICB or provider is assigned a segment of 3, NHS England regional teams work with the ICB or provider (for providers this also includes their relevant ICB) and agree on the ‘improvement criteria’ that must be met as part of the support or intervention. These criteria and the planned timeline to achieve them are recorded and form part of the regular review discussions. </w:t>
      </w:r>
    </w:p>
    <w:p w14:paraId="1A981A84" w14:textId="77777777" w:rsidR="00FF4D60" w:rsidRPr="00A161AC" w:rsidRDefault="00FF4D60" w:rsidP="0052579A">
      <w:pPr>
        <w:pStyle w:val="Numberedlist"/>
        <w:numPr>
          <w:ilvl w:val="0"/>
          <w:numId w:val="0"/>
        </w:numPr>
        <w:spacing w:after="0"/>
        <w:ind w:left="714" w:hanging="357"/>
      </w:pPr>
    </w:p>
    <w:p w14:paraId="583DF3B9" w14:textId="371EF9BF" w:rsidR="00FF4D60" w:rsidRPr="00A161AC" w:rsidRDefault="00FF4D60" w:rsidP="0052579A">
      <w:pPr>
        <w:pStyle w:val="Numberedlist"/>
        <w:spacing w:after="0"/>
        <w:ind w:left="714" w:hanging="357"/>
      </w:pPr>
      <w:r w:rsidRPr="00A161AC">
        <w:t xml:space="preserve">Our most intensive support intervention of the Recovery Support Programme is reserved for ICBs and providers with a segment of 4. For these organisations, the ‘improvement criteria’ are agreed with the programme team and they receive direct support from an improvement director to meet those criteria. These organisations </w:t>
      </w:r>
      <w:r w:rsidR="0487000D" w:rsidRPr="00A161AC">
        <w:t>may be</w:t>
      </w:r>
      <w:r w:rsidRPr="00A161AC">
        <w:t xml:space="preserve"> subject to enforcement action and leave the programme when the improvement criteria have been met in a manner deemed sustainable by the relevant regional and Recovery Support Programme teams. The NHS system partners of these organisations will be expected to provide support where improvements require system-wide action and may also be considered for formal intervention where required. An overview of the Recovery Support Programme is set out in Annex </w:t>
      </w:r>
      <w:r w:rsidR="00741255" w:rsidRPr="00A161AC">
        <w:t>C</w:t>
      </w:r>
      <w:r w:rsidRPr="00A161AC">
        <w:t xml:space="preserve">. </w:t>
      </w:r>
    </w:p>
    <w:p w14:paraId="5BBBDBC5" w14:textId="77777777" w:rsidR="00FF4D60" w:rsidRPr="00A161AC" w:rsidRDefault="00FF4D60" w:rsidP="00FF4D60">
      <w:pPr>
        <w:pStyle w:val="ListParagraph"/>
      </w:pPr>
    </w:p>
    <w:p w14:paraId="50EAED0E" w14:textId="77777777" w:rsidR="00FF4D60" w:rsidRPr="00A161AC" w:rsidRDefault="00FF4D60" w:rsidP="0052579A">
      <w:pPr>
        <w:pStyle w:val="Numberedlist"/>
        <w:spacing w:after="0"/>
        <w:ind w:left="714" w:hanging="357"/>
      </w:pPr>
      <w:r w:rsidRPr="00A161AC">
        <w:lastRenderedPageBreak/>
        <w:t xml:space="preserve">Any support or interventions an ICB or provider is receiving are examined as part of regular review meetings to determine whether they are having the desired impact or whether the approach requires adaptation. For organisations in the Recovery Support Programme, this review of support or interventions takes place at escalation meetings and any change in improvement criteria, planned timelines, or support has to be agreed through the relevant executive governance. </w:t>
      </w:r>
    </w:p>
    <w:p w14:paraId="5F951FC8" w14:textId="77777777" w:rsidR="00FF4D60" w:rsidRPr="00A161AC" w:rsidRDefault="00FF4D60" w:rsidP="0052579A">
      <w:pPr>
        <w:pStyle w:val="ListParagraph"/>
        <w:spacing w:after="0"/>
        <w:ind w:left="714" w:hanging="357"/>
      </w:pPr>
    </w:p>
    <w:p w14:paraId="195F7FFC" w14:textId="2C308AC1" w:rsidR="00FF4D60" w:rsidRPr="00A161AC" w:rsidRDefault="00FF4D60" w:rsidP="0052579A">
      <w:pPr>
        <w:pStyle w:val="Numberedlist"/>
        <w:spacing w:after="0"/>
        <w:ind w:left="714" w:hanging="357"/>
      </w:pPr>
      <w:r w:rsidRPr="00A161AC">
        <w:t xml:space="preserve">In some circumstances we may determine that it is necessary to invoke formal powers of enforcement in response to an identified issue. The </w:t>
      </w:r>
      <w:hyperlink r:id="rId39" w:anchor=":~:text=This%20guidance%20outlines%20how%20NHS,licensed%20independent%20providers%20of%20NHS">
        <w:r w:rsidRPr="00A161AC">
          <w:rPr>
            <w:rStyle w:val="Hyperlink"/>
            <w:rFonts w:ascii="Arial" w:hAnsi="Arial"/>
          </w:rPr>
          <w:t>NHS Enforcement Guidance</w:t>
        </w:r>
      </w:hyperlink>
      <w:r w:rsidRPr="00A161AC">
        <w:t xml:space="preserve"> contains further details on the circumstances and procedures for taking any such action.</w:t>
      </w:r>
    </w:p>
    <w:p w14:paraId="56F62626" w14:textId="77777777" w:rsidR="009B3C6D" w:rsidRPr="00A161AC" w:rsidRDefault="009B3C6D" w:rsidP="0052579A">
      <w:pPr>
        <w:spacing w:after="0"/>
        <w:rPr>
          <w:rStyle w:val="BodyTextChar"/>
          <w:rFonts w:eastAsia="Times New Roman" w:cs="Times New Roman"/>
          <w:color w:val="000000"/>
        </w:rPr>
      </w:pPr>
    </w:p>
    <w:p w14:paraId="73888228" w14:textId="75BACBD2" w:rsidR="009B3C6D" w:rsidRPr="00A161AC" w:rsidRDefault="006C7697" w:rsidP="0052579A">
      <w:pPr>
        <w:pStyle w:val="Heading3"/>
        <w:spacing w:after="0"/>
        <w:rPr>
          <w:rStyle w:val="BodyTextChar"/>
          <w:rFonts w:eastAsia="Times New Roman" w:cs="Arial"/>
          <w:color w:val="005EB8" w:themeColor="text2"/>
          <w:sz w:val="28"/>
        </w:rPr>
      </w:pPr>
      <w:bookmarkStart w:id="19" w:name="_Toc163574926"/>
      <w:r w:rsidRPr="00A161AC">
        <w:rPr>
          <w:rStyle w:val="BodyTextChar"/>
          <w:rFonts w:eastAsia="Times New Roman" w:cs="Arial"/>
          <w:color w:val="005EB8" w:themeColor="text2"/>
          <w:sz w:val="28"/>
        </w:rPr>
        <w:t>4.4</w:t>
      </w:r>
      <w:r w:rsidR="00EB6E74" w:rsidRPr="00A161AC">
        <w:rPr>
          <w:rStyle w:val="BodyTextChar"/>
          <w:rFonts w:eastAsia="Times New Roman" w:cs="Arial"/>
          <w:color w:val="005EB8" w:themeColor="text2"/>
          <w:sz w:val="28"/>
        </w:rPr>
        <w:tab/>
      </w:r>
      <w:r w:rsidR="00593569" w:rsidRPr="00A161AC">
        <w:rPr>
          <w:rStyle w:val="BodyTextChar"/>
          <w:rFonts w:eastAsia="Times New Roman" w:cs="Arial"/>
          <w:color w:val="005EB8" w:themeColor="text2"/>
          <w:sz w:val="28"/>
        </w:rPr>
        <w:t>High-performing organisations</w:t>
      </w:r>
      <w:bookmarkEnd w:id="19"/>
      <w:r w:rsidR="00593569" w:rsidRPr="00A161AC">
        <w:rPr>
          <w:rStyle w:val="BodyTextChar"/>
          <w:rFonts w:eastAsia="Times New Roman" w:cs="Arial"/>
          <w:color w:val="005EB8" w:themeColor="text2"/>
          <w:sz w:val="28"/>
        </w:rPr>
        <w:t xml:space="preserve"> </w:t>
      </w:r>
      <w:r w:rsidR="00A05070" w:rsidRPr="00A161AC">
        <w:rPr>
          <w:color w:val="FF0000"/>
        </w:rPr>
        <w:br/>
      </w:r>
    </w:p>
    <w:p w14:paraId="07885FC7" w14:textId="46094118" w:rsidR="00FF4D60" w:rsidRPr="00A161AC" w:rsidRDefault="00A05070" w:rsidP="0052579A">
      <w:pPr>
        <w:pStyle w:val="Numberedlist"/>
        <w:spacing w:after="0"/>
        <w:ind w:left="714" w:hanging="357"/>
      </w:pPr>
      <w:r w:rsidRPr="00A161AC">
        <w:t>High-performing organisations may have access to flexible improvement resources and national leadership opportunities, including taking a role in policy formation with NHS England.</w:t>
      </w:r>
    </w:p>
    <w:p w14:paraId="7514C772" w14:textId="34B79E18" w:rsidR="00F64933" w:rsidRPr="00A161AC" w:rsidRDefault="00A4613D" w:rsidP="00A4613D">
      <w:pPr>
        <w:pStyle w:val="h2numbered"/>
      </w:pPr>
      <w:bookmarkStart w:id="20" w:name="_Toc163574927"/>
      <w:r w:rsidRPr="00A161AC">
        <w:t>Asse</w:t>
      </w:r>
      <w:r w:rsidR="0080427A" w:rsidRPr="00A161AC">
        <w:t>s</w:t>
      </w:r>
      <w:r w:rsidR="00147270" w:rsidRPr="00A161AC">
        <w:t>sment</w:t>
      </w:r>
      <w:bookmarkEnd w:id="20"/>
    </w:p>
    <w:p w14:paraId="37237442" w14:textId="7C9FB270" w:rsidR="00147270" w:rsidRPr="00A161AC" w:rsidRDefault="003C0BDB" w:rsidP="00147270">
      <w:pPr>
        <w:pStyle w:val="h3numbered"/>
      </w:pPr>
      <w:bookmarkStart w:id="21" w:name="_Toc163574928"/>
      <w:r w:rsidRPr="00A161AC">
        <w:t xml:space="preserve">ICB Annual </w:t>
      </w:r>
      <w:r w:rsidR="00D45968" w:rsidRPr="00A161AC">
        <w:t xml:space="preserve">Performance </w:t>
      </w:r>
      <w:r w:rsidRPr="00A161AC">
        <w:t>Assessment</w:t>
      </w:r>
      <w:bookmarkEnd w:id="21"/>
      <w:r w:rsidRPr="00A161AC">
        <w:br/>
      </w:r>
    </w:p>
    <w:p w14:paraId="5CE87E35" w14:textId="00F17AA7" w:rsidR="00A26079" w:rsidRPr="00A161AC" w:rsidRDefault="00A26079" w:rsidP="00D56338">
      <w:pPr>
        <w:pStyle w:val="Numberedlist"/>
        <w:spacing w:after="0"/>
        <w:ind w:left="714" w:hanging="357"/>
      </w:pPr>
      <w:r w:rsidRPr="00A161AC">
        <w:rPr>
          <w:lang w:val="en-US"/>
        </w:rPr>
        <w:t>NHS England</w:t>
      </w:r>
      <w:r w:rsidRPr="00A161AC">
        <w:t xml:space="preserve"> has a legal duty</w:t>
      </w:r>
      <w:r w:rsidRPr="00A161AC">
        <w:rPr>
          <w:rStyle w:val="FootnoteReference"/>
          <w:color w:val="57646E" w:themeColor="accent2" w:themeShade="BF"/>
        </w:rPr>
        <w:footnoteReference w:id="6"/>
      </w:r>
      <w:r w:rsidRPr="00A161AC">
        <w:t xml:space="preserve"> to annually assess the performance of each ICB in respect of each financial year and publish a summary of its findings. </w:t>
      </w:r>
      <w:r w:rsidRPr="00A161AC">
        <w:br/>
      </w:r>
    </w:p>
    <w:p w14:paraId="5E3EA52C" w14:textId="582721B9" w:rsidR="00A26079" w:rsidRPr="00A161AC" w:rsidRDefault="00A26079" w:rsidP="00D56338">
      <w:pPr>
        <w:pStyle w:val="Numberedlist"/>
        <w:spacing w:after="0"/>
        <w:ind w:left="714" w:hanging="357"/>
        <w:rPr>
          <w:color w:val="auto"/>
        </w:rPr>
      </w:pPr>
      <w:r w:rsidRPr="00A161AC">
        <w:rPr>
          <w:color w:val="auto"/>
        </w:rPr>
        <w:t xml:space="preserve">The assessment must </w:t>
      </w:r>
      <w:r w:rsidR="0021628B" w:rsidRPr="00A161AC">
        <w:rPr>
          <w:color w:val="auto"/>
        </w:rPr>
        <w:t xml:space="preserve">consider how well the ICB has discharged its functions and </w:t>
      </w:r>
      <w:r w:rsidRPr="00A161AC">
        <w:rPr>
          <w:color w:val="auto"/>
        </w:rPr>
        <w:t>include, but not</w:t>
      </w:r>
      <w:r w:rsidR="0021628B" w:rsidRPr="00A161AC">
        <w:rPr>
          <w:color w:val="auto"/>
        </w:rPr>
        <w:t xml:space="preserve"> be</w:t>
      </w:r>
      <w:r w:rsidRPr="00A161AC">
        <w:rPr>
          <w:color w:val="auto"/>
        </w:rPr>
        <w:t xml:space="preserve"> limited to, how effectively the ICB has d</w:t>
      </w:r>
      <w:r w:rsidR="0021628B" w:rsidRPr="00A161AC">
        <w:rPr>
          <w:color w:val="auto"/>
        </w:rPr>
        <w:t>ischarged</w:t>
      </w:r>
      <w:r w:rsidRPr="00A161AC">
        <w:rPr>
          <w:color w:val="auto"/>
        </w:rPr>
        <w:t xml:space="preserve"> the following specific duties, required under the terms of the Act:</w:t>
      </w:r>
    </w:p>
    <w:p w14:paraId="245374BC" w14:textId="6D11F688" w:rsidR="00A26079" w:rsidRPr="00A161AC" w:rsidRDefault="00A26079" w:rsidP="00AB4B85">
      <w:pPr>
        <w:pStyle w:val="BodyText"/>
        <w:numPr>
          <w:ilvl w:val="2"/>
          <w:numId w:val="24"/>
        </w:numPr>
        <w:ind w:left="1077" w:hanging="357"/>
        <w:contextualSpacing/>
        <w:rPr>
          <w:color w:val="auto"/>
        </w:rPr>
      </w:pPr>
      <w:r w:rsidRPr="00A161AC">
        <w:rPr>
          <w:color w:val="auto"/>
        </w:rPr>
        <w:t xml:space="preserve">the duty </w:t>
      </w:r>
      <w:r w:rsidR="0021628B" w:rsidRPr="00A161AC">
        <w:rPr>
          <w:color w:val="auto"/>
        </w:rPr>
        <w:t xml:space="preserve">as </w:t>
      </w:r>
      <w:r w:rsidRPr="00A161AC">
        <w:rPr>
          <w:color w:val="auto"/>
        </w:rPr>
        <w:t>to improv</w:t>
      </w:r>
      <w:r w:rsidR="0021628B" w:rsidRPr="00A161AC">
        <w:rPr>
          <w:color w:val="auto"/>
        </w:rPr>
        <w:t>ing</w:t>
      </w:r>
      <w:r w:rsidRPr="00A161AC">
        <w:rPr>
          <w:color w:val="auto"/>
        </w:rPr>
        <w:t xml:space="preserve"> the quality of services</w:t>
      </w:r>
    </w:p>
    <w:p w14:paraId="30B20B6B" w14:textId="6723D7C6" w:rsidR="00A26079" w:rsidRPr="00A161AC" w:rsidRDefault="00A26079" w:rsidP="00AB4B85">
      <w:pPr>
        <w:pStyle w:val="BodyText"/>
        <w:numPr>
          <w:ilvl w:val="2"/>
          <w:numId w:val="24"/>
        </w:numPr>
        <w:ind w:left="1077" w:hanging="357"/>
        <w:contextualSpacing/>
        <w:rPr>
          <w:color w:val="auto"/>
        </w:rPr>
      </w:pPr>
      <w:r w:rsidRPr="00A161AC">
        <w:rPr>
          <w:color w:val="auto"/>
        </w:rPr>
        <w:t xml:space="preserve">the duty </w:t>
      </w:r>
      <w:r w:rsidR="0021628B" w:rsidRPr="00A161AC">
        <w:rPr>
          <w:color w:val="auto"/>
        </w:rPr>
        <w:t xml:space="preserve">as </w:t>
      </w:r>
      <w:r w:rsidRPr="00A161AC">
        <w:rPr>
          <w:color w:val="auto"/>
        </w:rPr>
        <w:t>to reduc</w:t>
      </w:r>
      <w:r w:rsidR="0021628B" w:rsidRPr="00A161AC">
        <w:rPr>
          <w:color w:val="auto"/>
        </w:rPr>
        <w:t>ing</w:t>
      </w:r>
      <w:r w:rsidRPr="00A161AC">
        <w:rPr>
          <w:color w:val="auto"/>
        </w:rPr>
        <w:t xml:space="preserve"> inequality of access and outcome</w:t>
      </w:r>
    </w:p>
    <w:p w14:paraId="396CC769" w14:textId="3EBCE31E" w:rsidR="00A26079" w:rsidRPr="00A161AC" w:rsidRDefault="00A26079" w:rsidP="00AB4B85">
      <w:pPr>
        <w:pStyle w:val="BodyText"/>
        <w:numPr>
          <w:ilvl w:val="2"/>
          <w:numId w:val="24"/>
        </w:numPr>
        <w:ind w:left="1077" w:hanging="357"/>
        <w:contextualSpacing/>
        <w:rPr>
          <w:color w:val="auto"/>
        </w:rPr>
      </w:pPr>
      <w:r w:rsidRPr="00A161AC">
        <w:rPr>
          <w:color w:val="auto"/>
        </w:rPr>
        <w:t xml:space="preserve">the duty to </w:t>
      </w:r>
      <w:r w:rsidR="002209EA" w:rsidRPr="00A161AC">
        <w:rPr>
          <w:color w:val="auto"/>
        </w:rPr>
        <w:t>obtain</w:t>
      </w:r>
      <w:r w:rsidRPr="00A161AC">
        <w:rPr>
          <w:color w:val="auto"/>
        </w:rPr>
        <w:t xml:space="preserve"> appropriate advice</w:t>
      </w:r>
    </w:p>
    <w:p w14:paraId="1D2AE22F" w14:textId="77777777" w:rsidR="00A26079" w:rsidRPr="00A161AC" w:rsidRDefault="00A26079" w:rsidP="00AB4B85">
      <w:pPr>
        <w:pStyle w:val="BodyText"/>
        <w:numPr>
          <w:ilvl w:val="2"/>
          <w:numId w:val="24"/>
        </w:numPr>
        <w:ind w:left="1077" w:hanging="357"/>
        <w:contextualSpacing/>
        <w:rPr>
          <w:color w:val="auto"/>
        </w:rPr>
      </w:pPr>
      <w:r w:rsidRPr="00A161AC">
        <w:rPr>
          <w:color w:val="auto"/>
        </w:rPr>
        <w:t>the duty to facilitate, promote and use research</w:t>
      </w:r>
    </w:p>
    <w:p w14:paraId="1133F327" w14:textId="77777777" w:rsidR="00A26079" w:rsidRPr="00A161AC" w:rsidRDefault="00A26079" w:rsidP="00AB4B85">
      <w:pPr>
        <w:pStyle w:val="BodyText"/>
        <w:numPr>
          <w:ilvl w:val="2"/>
          <w:numId w:val="24"/>
        </w:numPr>
        <w:ind w:left="1077" w:hanging="357"/>
        <w:contextualSpacing/>
        <w:rPr>
          <w:color w:val="auto"/>
        </w:rPr>
      </w:pPr>
      <w:r w:rsidRPr="00A161AC">
        <w:rPr>
          <w:color w:val="auto"/>
        </w:rPr>
        <w:t>the duty to have regard to the effect of decisions (The “triple aim”)</w:t>
      </w:r>
    </w:p>
    <w:p w14:paraId="1103DCFD" w14:textId="55777639" w:rsidR="00A26079" w:rsidRPr="00A161AC" w:rsidRDefault="00A26079" w:rsidP="00AB4B85">
      <w:pPr>
        <w:pStyle w:val="BodyText"/>
        <w:numPr>
          <w:ilvl w:val="2"/>
          <w:numId w:val="24"/>
        </w:numPr>
        <w:ind w:left="1077" w:hanging="357"/>
        <w:contextualSpacing/>
        <w:rPr>
          <w:color w:val="auto"/>
        </w:rPr>
      </w:pPr>
      <w:r w:rsidRPr="00A161AC">
        <w:rPr>
          <w:color w:val="auto"/>
        </w:rPr>
        <w:t xml:space="preserve">the duty to </w:t>
      </w:r>
      <w:r w:rsidR="002209EA" w:rsidRPr="00A161AC">
        <w:rPr>
          <w:color w:val="auto"/>
        </w:rPr>
        <w:t>make arrangements to involve</w:t>
      </w:r>
      <w:r w:rsidRPr="00A161AC">
        <w:rPr>
          <w:color w:val="auto"/>
        </w:rPr>
        <w:t xml:space="preserve"> patients</w:t>
      </w:r>
      <w:r w:rsidR="00C96490" w:rsidRPr="00A161AC">
        <w:rPr>
          <w:color w:val="auto"/>
        </w:rPr>
        <w:t>, carers</w:t>
      </w:r>
      <w:r w:rsidRPr="00A161AC">
        <w:rPr>
          <w:color w:val="auto"/>
        </w:rPr>
        <w:t xml:space="preserve"> and the public </w:t>
      </w:r>
      <w:r w:rsidR="00C96490" w:rsidRPr="00A161AC">
        <w:rPr>
          <w:color w:val="auto"/>
        </w:rPr>
        <w:t>in commissioning plans and</w:t>
      </w:r>
      <w:r w:rsidRPr="00A161AC">
        <w:rPr>
          <w:color w:val="auto"/>
        </w:rPr>
        <w:t xml:space="preserve"> decisions that affect them</w:t>
      </w:r>
    </w:p>
    <w:p w14:paraId="5C4183C4" w14:textId="6FB19314" w:rsidR="00A26079" w:rsidRPr="00A161AC" w:rsidRDefault="00A26079" w:rsidP="00AB4B85">
      <w:pPr>
        <w:pStyle w:val="BodyText"/>
        <w:numPr>
          <w:ilvl w:val="2"/>
          <w:numId w:val="24"/>
        </w:numPr>
        <w:ind w:left="1077" w:hanging="357"/>
        <w:contextualSpacing/>
        <w:rPr>
          <w:color w:val="auto"/>
        </w:rPr>
      </w:pPr>
      <w:r w:rsidRPr="00A161AC">
        <w:rPr>
          <w:color w:val="auto"/>
        </w:rPr>
        <w:t xml:space="preserve">the </w:t>
      </w:r>
      <w:r w:rsidR="00C96490" w:rsidRPr="00A161AC">
        <w:rPr>
          <w:color w:val="auto"/>
        </w:rPr>
        <w:t xml:space="preserve">ICB’s </w:t>
      </w:r>
      <w:r w:rsidRPr="00A161AC">
        <w:rPr>
          <w:color w:val="auto"/>
        </w:rPr>
        <w:t>financial duties</w:t>
      </w:r>
    </w:p>
    <w:p w14:paraId="5D7B43E5" w14:textId="4D0728E4" w:rsidR="00A26079" w:rsidRPr="00A161AC" w:rsidRDefault="00A26079" w:rsidP="00AB4B85">
      <w:pPr>
        <w:pStyle w:val="BodyText"/>
        <w:numPr>
          <w:ilvl w:val="2"/>
          <w:numId w:val="24"/>
        </w:numPr>
        <w:ind w:left="1077" w:hanging="357"/>
        <w:rPr>
          <w:color w:val="auto"/>
        </w:rPr>
      </w:pPr>
      <w:r w:rsidRPr="00A161AC">
        <w:rPr>
          <w:color w:val="auto"/>
        </w:rPr>
        <w:t xml:space="preserve">the duty to </w:t>
      </w:r>
      <w:r w:rsidR="00C96490" w:rsidRPr="00A161AC">
        <w:rPr>
          <w:color w:val="auto"/>
        </w:rPr>
        <w:t>have regard</w:t>
      </w:r>
      <w:r w:rsidRPr="00A161AC">
        <w:rPr>
          <w:color w:val="auto"/>
        </w:rPr>
        <w:t xml:space="preserve"> to </w:t>
      </w:r>
      <w:r w:rsidR="00C96490" w:rsidRPr="00A161AC">
        <w:rPr>
          <w:color w:val="auto"/>
        </w:rPr>
        <w:t xml:space="preserve">certain </w:t>
      </w:r>
      <w:r w:rsidRPr="00A161AC">
        <w:rPr>
          <w:color w:val="auto"/>
        </w:rPr>
        <w:t xml:space="preserve">wider local </w:t>
      </w:r>
      <w:r w:rsidR="00C96490" w:rsidRPr="00A161AC">
        <w:rPr>
          <w:color w:val="auto"/>
        </w:rPr>
        <w:t xml:space="preserve">needs assessments and </w:t>
      </w:r>
      <w:r w:rsidRPr="00A161AC">
        <w:rPr>
          <w:color w:val="auto"/>
        </w:rPr>
        <w:t>strategies.</w:t>
      </w:r>
    </w:p>
    <w:p w14:paraId="1B766522" w14:textId="05D17902" w:rsidR="00147270" w:rsidRPr="00A161AC" w:rsidRDefault="00147270" w:rsidP="00D56338">
      <w:pPr>
        <w:pStyle w:val="Numberedlist"/>
        <w:spacing w:after="0"/>
        <w:ind w:left="714" w:hanging="357"/>
      </w:pPr>
      <w:r w:rsidRPr="00A161AC">
        <w:lastRenderedPageBreak/>
        <w:t xml:space="preserve">As of 2024/25, our annual </w:t>
      </w:r>
      <w:r w:rsidR="008221B7" w:rsidRPr="00A161AC">
        <w:t xml:space="preserve">performance </w:t>
      </w:r>
      <w:r w:rsidRPr="00A161AC">
        <w:t xml:space="preserve">assessment of ICBs in respect of the preceding year will </w:t>
      </w:r>
      <w:r w:rsidR="00C96490" w:rsidRPr="00A161AC">
        <w:t>include consideration</w:t>
      </w:r>
      <w:r w:rsidRPr="00A161AC">
        <w:t xml:space="preserve"> of the following:</w:t>
      </w:r>
    </w:p>
    <w:p w14:paraId="281278B5" w14:textId="4808F7EE" w:rsidR="00147270" w:rsidRPr="00A161AC" w:rsidRDefault="00BF5DE4" w:rsidP="00AB4B85">
      <w:pPr>
        <w:pStyle w:val="BodyText"/>
        <w:numPr>
          <w:ilvl w:val="0"/>
          <w:numId w:val="21"/>
        </w:numPr>
        <w:spacing w:after="0"/>
        <w:ind w:left="1843" w:hanging="425"/>
      </w:pPr>
      <w:r w:rsidRPr="00A161AC">
        <w:t xml:space="preserve">An annualised delivery </w:t>
      </w:r>
      <w:r w:rsidR="00D76013" w:rsidRPr="00A161AC">
        <w:t>score</w:t>
      </w:r>
      <w:r w:rsidR="00147270" w:rsidRPr="00A161AC">
        <w:t xml:space="preserve"> resulting in a segment of 1-4 (see section 4.2)</w:t>
      </w:r>
      <w:r w:rsidR="005F546E" w:rsidRPr="00A161AC">
        <w:t>; and</w:t>
      </w:r>
      <w:r w:rsidR="00147270" w:rsidRPr="00A161AC">
        <w:t xml:space="preserve"> </w:t>
      </w:r>
    </w:p>
    <w:p w14:paraId="015BD263" w14:textId="4AA7EC69" w:rsidR="005F546E" w:rsidRPr="00A161AC" w:rsidRDefault="00147270" w:rsidP="00AB4B85">
      <w:pPr>
        <w:pStyle w:val="BodyText"/>
        <w:numPr>
          <w:ilvl w:val="0"/>
          <w:numId w:val="21"/>
        </w:numPr>
        <w:spacing w:after="0"/>
        <w:ind w:left="1843" w:hanging="425"/>
      </w:pPr>
      <w:r w:rsidRPr="00A161AC">
        <w:t xml:space="preserve">A capability rating based on how well </w:t>
      </w:r>
      <w:r w:rsidRPr="00A161AC">
        <w:rPr>
          <w:color w:val="auto"/>
        </w:rPr>
        <w:t xml:space="preserve">the ICB has performed activities under </w:t>
      </w:r>
      <w:r w:rsidRPr="00A161AC">
        <w:t>six core functional areas over the year (see section 5.</w:t>
      </w:r>
      <w:r w:rsidR="003C0BDB" w:rsidRPr="00A161AC">
        <w:t>2</w:t>
      </w:r>
      <w:r w:rsidR="00B30906" w:rsidRPr="00A161AC">
        <w:t>. Th</w:t>
      </w:r>
      <w:r w:rsidR="00C65FFA" w:rsidRPr="00A161AC">
        <w:t>e</w:t>
      </w:r>
      <w:r w:rsidR="00B30906" w:rsidRPr="00A161AC">
        <w:t xml:space="preserve"> capability assessment will also </w:t>
      </w:r>
      <w:r w:rsidR="00C65FFA" w:rsidRPr="00A161AC">
        <w:t>include</w:t>
      </w:r>
      <w:r w:rsidR="00B30906" w:rsidRPr="00A161AC">
        <w:t xml:space="preserve"> how the ICB has performed its </w:t>
      </w:r>
      <w:r w:rsidR="00C65FFA" w:rsidRPr="00A161AC">
        <w:t xml:space="preserve">functions as </w:t>
      </w:r>
      <w:r w:rsidR="00CB051E" w:rsidRPr="00A161AC">
        <w:t>required</w:t>
      </w:r>
      <w:r w:rsidR="00C65FFA" w:rsidRPr="00A161AC">
        <w:t xml:space="preserve"> in the NHS Act 2006</w:t>
      </w:r>
      <w:r w:rsidR="00331BE1" w:rsidRPr="00A161AC">
        <w:t>)</w:t>
      </w:r>
      <w:r w:rsidR="005F546E" w:rsidRPr="00A161AC">
        <w:rPr>
          <w:bCs/>
        </w:rPr>
        <w:t>.</w:t>
      </w:r>
    </w:p>
    <w:p w14:paraId="5D14CA3C" w14:textId="77777777" w:rsidR="00D56338" w:rsidRPr="00A161AC" w:rsidRDefault="00D56338" w:rsidP="00D56338">
      <w:pPr>
        <w:pStyle w:val="BodyText"/>
        <w:spacing w:after="0"/>
        <w:ind w:left="1843"/>
      </w:pPr>
    </w:p>
    <w:p w14:paraId="078C5358" w14:textId="77777777" w:rsidR="00147270" w:rsidRPr="00A161AC" w:rsidRDefault="00147270" w:rsidP="00D56338">
      <w:pPr>
        <w:pStyle w:val="Numberedlist"/>
        <w:spacing w:after="0"/>
        <w:ind w:left="714" w:hanging="357"/>
      </w:pPr>
      <w:r w:rsidRPr="00A161AC">
        <w:t>In quarter two of each financial year, NHS England will hold a meeting with each ICB dedicated to discussing their annual performance assessment for the preceding year. As part of this meeting, we will discuss the outcome of our capability assessment in respect of the previous year, reflect on existing and emerging issues, and invite the ICB to make any representations that it feels are appropriate.</w:t>
      </w:r>
    </w:p>
    <w:p w14:paraId="1537FC89" w14:textId="328CF676" w:rsidR="001265EF" w:rsidRPr="00A161AC" w:rsidRDefault="001265EF" w:rsidP="00D56338">
      <w:pPr>
        <w:pStyle w:val="Numberedlist"/>
        <w:numPr>
          <w:ilvl w:val="0"/>
          <w:numId w:val="0"/>
        </w:numPr>
        <w:spacing w:after="0"/>
        <w:ind w:left="714" w:hanging="357"/>
      </w:pPr>
    </w:p>
    <w:p w14:paraId="3F973E7B" w14:textId="0328BCC5" w:rsidR="00147270" w:rsidRPr="00A161AC" w:rsidRDefault="00147270" w:rsidP="00D56338">
      <w:pPr>
        <w:pStyle w:val="Numberedlist"/>
        <w:spacing w:after="0"/>
        <w:ind w:left="714" w:hanging="357"/>
      </w:pPr>
      <w:r w:rsidRPr="00A161AC">
        <w:t xml:space="preserve">Alongside the capability assessment we will also summarise our views of the ICB’s overall delivery taking into consideration the segment for Q1, performance over the previous year, as well as reflecting on overall delivery against national objectives. </w:t>
      </w:r>
    </w:p>
    <w:p w14:paraId="2844D56B" w14:textId="77777777" w:rsidR="00147270" w:rsidRPr="00A161AC" w:rsidRDefault="00147270" w:rsidP="00D56338">
      <w:pPr>
        <w:pStyle w:val="ListParagraph"/>
        <w:spacing w:after="0"/>
        <w:ind w:left="714" w:hanging="357"/>
      </w:pPr>
    </w:p>
    <w:p w14:paraId="73BC3073" w14:textId="4CDE8305" w:rsidR="00147270" w:rsidRPr="00A161AC" w:rsidRDefault="00147270" w:rsidP="00D56338">
      <w:pPr>
        <w:pStyle w:val="Numberedlist"/>
        <w:spacing w:after="0"/>
        <w:ind w:left="714" w:hanging="357"/>
      </w:pPr>
      <w:r w:rsidRPr="00A161AC">
        <w:t>The ICB’s capability rating and segment for the previous year will then be agreed upon by the relevant NHS England governance group and formally communicated to the ICB’s Chair and CEO in a letter from the relevant Regional Director. This letter will, in addition to the headline findings, contain a summary report that outlines areas in which the ICB has performed strongly and could support others as well as any identified areas for development and any subsequent support we will provide in the year ahead. The letter will also detail the agreed ways of working between us and the ICB</w:t>
      </w:r>
      <w:r w:rsidR="00D94BAF" w:rsidRPr="00A161AC">
        <w:rPr>
          <w:rStyle w:val="FootnoteReference"/>
        </w:rPr>
        <w:footnoteReference w:id="7"/>
      </w:r>
      <w:r w:rsidRPr="00A161AC">
        <w:t>. This will include, but may not be limited to:</w:t>
      </w:r>
    </w:p>
    <w:p w14:paraId="159BB007" w14:textId="77777777" w:rsidR="00147270" w:rsidRPr="00A161AC" w:rsidRDefault="00147270" w:rsidP="00AB4B85">
      <w:pPr>
        <w:pStyle w:val="bodytextnumbered"/>
        <w:numPr>
          <w:ilvl w:val="4"/>
          <w:numId w:val="22"/>
        </w:numPr>
        <w:spacing w:after="0"/>
        <w:ind w:left="1775" w:hanging="357"/>
      </w:pPr>
      <w:r w:rsidRPr="00A161AC">
        <w:t>How we will work with the ICB to oversee providers in that NHS system,</w:t>
      </w:r>
    </w:p>
    <w:p w14:paraId="10BCC6F3" w14:textId="77777777" w:rsidR="00147270" w:rsidRPr="00A161AC" w:rsidRDefault="00147270" w:rsidP="00AB4B85">
      <w:pPr>
        <w:pStyle w:val="bodytextnumbered"/>
        <w:numPr>
          <w:ilvl w:val="4"/>
          <w:numId w:val="22"/>
        </w:numPr>
        <w:spacing w:after="0"/>
        <w:ind w:left="1775" w:hanging="357"/>
      </w:pPr>
      <w:r w:rsidRPr="00A161AC">
        <w:t>How the commissioning of delegated services will be overseen, and</w:t>
      </w:r>
    </w:p>
    <w:p w14:paraId="352919EA" w14:textId="77777777" w:rsidR="00147270" w:rsidRPr="00A161AC" w:rsidRDefault="00147270" w:rsidP="00AB4B85">
      <w:pPr>
        <w:pStyle w:val="bodytextnumbered"/>
        <w:numPr>
          <w:ilvl w:val="4"/>
          <w:numId w:val="22"/>
        </w:numPr>
        <w:spacing w:after="0"/>
        <w:ind w:left="1775" w:hanging="357"/>
      </w:pPr>
      <w:r w:rsidRPr="00A161AC">
        <w:t>How we will support the ICB to oversee delivery of key operational and forward plans.</w:t>
      </w:r>
      <w:r w:rsidRPr="00A161AC">
        <w:rPr>
          <w:color w:val="FF0000"/>
        </w:rPr>
        <w:t xml:space="preserve"> </w:t>
      </w:r>
    </w:p>
    <w:p w14:paraId="04D40459" w14:textId="77777777" w:rsidR="00147270" w:rsidRPr="00A161AC" w:rsidRDefault="00147270" w:rsidP="00147270">
      <w:pPr>
        <w:pStyle w:val="Numberedlist"/>
        <w:numPr>
          <w:ilvl w:val="0"/>
          <w:numId w:val="0"/>
        </w:numPr>
        <w:ind w:left="1899"/>
      </w:pPr>
    </w:p>
    <w:p w14:paraId="4BEB1052" w14:textId="281BAB6E" w:rsidR="002B6DC4" w:rsidRPr="00A161AC" w:rsidRDefault="00147270" w:rsidP="00D56338">
      <w:pPr>
        <w:pStyle w:val="Numberedlist"/>
        <w:spacing w:after="0"/>
        <w:ind w:left="714" w:hanging="357"/>
      </w:pPr>
      <w:r w:rsidRPr="00A161AC">
        <w:t xml:space="preserve">If an ICB or provider is entering the Recovery Support Programme, it will receive a letter from the relevant NHS England national executive. </w:t>
      </w:r>
      <w:r w:rsidR="002B6DC4" w:rsidRPr="00A161AC">
        <w:br/>
      </w:r>
    </w:p>
    <w:p w14:paraId="54B771BE" w14:textId="45938D7E" w:rsidR="00147270" w:rsidRPr="00A161AC" w:rsidRDefault="002B6DC4" w:rsidP="00D56338">
      <w:pPr>
        <w:pStyle w:val="Numberedlist"/>
        <w:spacing w:after="0"/>
        <w:ind w:left="714" w:hanging="357"/>
      </w:pPr>
      <w:r w:rsidRPr="00A161AC">
        <w:lastRenderedPageBreak/>
        <w:t>ICB Boards will be asked to publish their annual assessments alongside their annual report and accounts as part of a public meeting</w:t>
      </w:r>
      <w:r w:rsidR="000E61D4" w:rsidRPr="00A161AC">
        <w:t xml:space="preserve"> while NHS England will publish a summary of all annual assessments as required by The Act.</w:t>
      </w:r>
    </w:p>
    <w:p w14:paraId="3D44F0E7" w14:textId="6F58320C" w:rsidR="00D56338" w:rsidRPr="00A161AC" w:rsidRDefault="00D63C94" w:rsidP="00D56338">
      <w:pPr>
        <w:pStyle w:val="h3numbered"/>
      </w:pPr>
      <w:bookmarkStart w:id="22" w:name="_Toc160636212"/>
      <w:bookmarkStart w:id="23" w:name="_Toc163574929"/>
      <w:r w:rsidRPr="00A161AC">
        <w:t>ICB Capability Assessment</w:t>
      </w:r>
      <w:bookmarkEnd w:id="22"/>
      <w:bookmarkEnd w:id="23"/>
    </w:p>
    <w:p w14:paraId="75700C9C" w14:textId="77777777" w:rsidR="00D56338" w:rsidRPr="00A161AC" w:rsidRDefault="00D56338" w:rsidP="00D56338">
      <w:pPr>
        <w:pStyle w:val="h3numbered"/>
        <w:numPr>
          <w:ilvl w:val="0"/>
          <w:numId w:val="0"/>
        </w:numPr>
        <w:spacing w:before="0" w:after="0"/>
      </w:pPr>
    </w:p>
    <w:p w14:paraId="0565E764" w14:textId="455037A9" w:rsidR="0068571E" w:rsidRPr="00A161AC" w:rsidRDefault="00D63C94" w:rsidP="0040504B">
      <w:pPr>
        <w:pStyle w:val="Numberedlist"/>
        <w:spacing w:after="0"/>
        <w:ind w:left="714" w:hanging="357"/>
        <w:rPr>
          <w:color w:val="FF0000"/>
        </w:rPr>
      </w:pPr>
      <w:r w:rsidRPr="00A161AC">
        <w:t xml:space="preserve">We have described six broad functional areas in </w:t>
      </w:r>
      <w:r w:rsidR="0068571E" w:rsidRPr="00A161AC">
        <w:t xml:space="preserve">Table </w:t>
      </w:r>
      <w:r w:rsidR="009A0D13" w:rsidRPr="00A161AC">
        <w:t>5</w:t>
      </w:r>
      <w:r w:rsidRPr="00A161AC">
        <w:t xml:space="preserve"> with several supporting activities (outlined in Annex </w:t>
      </w:r>
      <w:r w:rsidR="00741255" w:rsidRPr="00A161AC">
        <w:t>A</w:t>
      </w:r>
      <w:r w:rsidRPr="00A161AC">
        <w:t xml:space="preserve">), that ICBs undertake which assures us that they are delivering their contribution to the four purposes of </w:t>
      </w:r>
      <w:r w:rsidR="000E61D4" w:rsidRPr="00A161AC">
        <w:t xml:space="preserve">an </w:t>
      </w:r>
      <w:r w:rsidRPr="00A161AC">
        <w:t xml:space="preserve">ICS and </w:t>
      </w:r>
      <w:r w:rsidR="000E61D4" w:rsidRPr="00A161AC">
        <w:t>have</w:t>
      </w:r>
      <w:r w:rsidRPr="00A161AC">
        <w:t xml:space="preserve"> effectively </w:t>
      </w:r>
      <w:r w:rsidR="000E61D4" w:rsidRPr="00A161AC">
        <w:t>discharged, and will continue to discharge,</w:t>
      </w:r>
      <w:r w:rsidRPr="00A161AC">
        <w:t xml:space="preserve"> their statutory duties and powers. Our assessment of ICBs will be based on these six functional areas. Each functional area requires a high level of expertise within the ICB and a collaborative approach to working with local partner organisations. </w:t>
      </w:r>
    </w:p>
    <w:p w14:paraId="7F237277" w14:textId="6320E663" w:rsidR="007E3264" w:rsidRPr="00A161AC" w:rsidRDefault="00B4716F" w:rsidP="0040504B">
      <w:pPr>
        <w:pStyle w:val="Numberedlist"/>
        <w:numPr>
          <w:ilvl w:val="0"/>
          <w:numId w:val="0"/>
        </w:numPr>
        <w:ind w:left="360"/>
        <w:rPr>
          <w:color w:val="FF0000"/>
          <w:sz w:val="20"/>
          <w:szCs w:val="20"/>
        </w:rPr>
      </w:pPr>
      <w:r w:rsidRPr="00A161AC">
        <w:rPr>
          <w:sz w:val="20"/>
          <w:szCs w:val="20"/>
        </w:rPr>
        <w:br/>
      </w:r>
    </w:p>
    <w:tbl>
      <w:tblPr>
        <w:tblStyle w:val="TableGrid"/>
        <w:tblW w:w="9760" w:type="dxa"/>
        <w:tblLook w:val="04A0" w:firstRow="1" w:lastRow="0" w:firstColumn="1" w:lastColumn="0" w:noHBand="0" w:noVBand="1"/>
      </w:tblPr>
      <w:tblGrid>
        <w:gridCol w:w="2235"/>
        <w:gridCol w:w="7525"/>
      </w:tblGrid>
      <w:tr w:rsidR="007E3264" w:rsidRPr="00A161AC" w14:paraId="21B04535" w14:textId="77777777" w:rsidTr="0005117C">
        <w:trPr>
          <w:trHeight w:val="434"/>
        </w:trPr>
        <w:tc>
          <w:tcPr>
            <w:tcW w:w="2235" w:type="dxa"/>
            <w:shd w:val="clear" w:color="auto" w:fill="003087" w:themeFill="accent1"/>
          </w:tcPr>
          <w:p w14:paraId="0DEB34F2" w14:textId="77777777" w:rsidR="007E3264" w:rsidRPr="00A161AC" w:rsidRDefault="007E3264" w:rsidP="00FC33C8">
            <w:pPr>
              <w:spacing w:after="0" w:line="240" w:lineRule="auto"/>
              <w:rPr>
                <w:rFonts w:eastAsia="Arial" w:cs="Arial"/>
                <w:b/>
                <w:bCs/>
                <w:color w:val="FFFFFF" w:themeColor="text1"/>
                <w:sz w:val="22"/>
                <w:szCs w:val="22"/>
                <w:lang w:val="en-US"/>
              </w:rPr>
            </w:pPr>
            <w:r w:rsidRPr="00A161AC">
              <w:rPr>
                <w:rFonts w:eastAsia="Arial" w:cs="Arial"/>
                <w:b/>
                <w:bCs/>
                <w:color w:val="FFFFFF" w:themeColor="text1"/>
                <w:sz w:val="22"/>
                <w:szCs w:val="22"/>
                <w:lang w:val="en-US"/>
              </w:rPr>
              <w:t>Area</w:t>
            </w:r>
          </w:p>
        </w:tc>
        <w:tc>
          <w:tcPr>
            <w:tcW w:w="7525" w:type="dxa"/>
            <w:shd w:val="clear" w:color="auto" w:fill="003087" w:themeFill="accent1"/>
          </w:tcPr>
          <w:p w14:paraId="135AE92E" w14:textId="77777777" w:rsidR="007E3264" w:rsidRPr="00A161AC" w:rsidRDefault="007E3264" w:rsidP="00FC33C8">
            <w:pPr>
              <w:spacing w:after="0" w:line="240" w:lineRule="auto"/>
              <w:rPr>
                <w:rFonts w:eastAsia="Arial" w:cs="Arial"/>
                <w:b/>
                <w:bCs/>
                <w:color w:val="FFFFFF" w:themeColor="text1"/>
                <w:sz w:val="22"/>
                <w:szCs w:val="22"/>
                <w:lang w:val="en-US"/>
              </w:rPr>
            </w:pPr>
            <w:r w:rsidRPr="00A161AC">
              <w:rPr>
                <w:rFonts w:eastAsia="Arial" w:cs="Arial"/>
                <w:b/>
                <w:bCs/>
                <w:color w:val="FFFFFF" w:themeColor="text1"/>
                <w:sz w:val="22"/>
                <w:szCs w:val="22"/>
                <w:lang w:val="en-US"/>
              </w:rPr>
              <w:t>Criteria</w:t>
            </w:r>
          </w:p>
        </w:tc>
      </w:tr>
      <w:tr w:rsidR="007E3264" w:rsidRPr="00A161AC" w14:paraId="0D0EAE60" w14:textId="77777777" w:rsidTr="00FC33C8">
        <w:tc>
          <w:tcPr>
            <w:tcW w:w="2235" w:type="dxa"/>
          </w:tcPr>
          <w:p w14:paraId="025BBE47" w14:textId="77777777" w:rsidR="007E3264" w:rsidRPr="00A161AC" w:rsidRDefault="007E3264" w:rsidP="00FC33C8">
            <w:pPr>
              <w:spacing w:after="0" w:line="240" w:lineRule="auto"/>
              <w:rPr>
                <w:rFonts w:eastAsia="Arial" w:cs="Arial"/>
                <w:b/>
                <w:bCs/>
                <w:color w:val="003087" w:themeColor="accent1"/>
                <w:sz w:val="22"/>
                <w:szCs w:val="22"/>
                <w:lang w:val="en-US"/>
              </w:rPr>
            </w:pPr>
            <w:r w:rsidRPr="00A161AC">
              <w:rPr>
                <w:rFonts w:eastAsia="Arial" w:cs="Arial"/>
                <w:b/>
                <w:bCs/>
                <w:sz w:val="22"/>
                <w:szCs w:val="22"/>
                <w:lang w:val="en-US"/>
              </w:rPr>
              <w:t>Strategy &amp; Planning</w:t>
            </w:r>
          </w:p>
        </w:tc>
        <w:tc>
          <w:tcPr>
            <w:tcW w:w="7525" w:type="dxa"/>
          </w:tcPr>
          <w:p w14:paraId="149F49DE" w14:textId="3AF8269A" w:rsidR="007E3264" w:rsidRPr="00A161AC" w:rsidRDefault="007E3264" w:rsidP="00FC33C8">
            <w:pPr>
              <w:spacing w:after="0" w:line="240" w:lineRule="auto"/>
              <w:rPr>
                <w:rFonts w:eastAsia="Arial" w:cs="Arial"/>
                <w:color w:val="003087" w:themeColor="accent1"/>
                <w:sz w:val="22"/>
                <w:szCs w:val="22"/>
                <w:lang w:val="en-US"/>
              </w:rPr>
            </w:pPr>
            <w:r w:rsidRPr="00A161AC">
              <w:rPr>
                <w:rFonts w:eastAsia="Arial" w:cs="Arial"/>
                <w:sz w:val="22"/>
                <w:szCs w:val="22"/>
                <w:lang w:val="en-US"/>
              </w:rPr>
              <w:t>Developing strategies with the ICP and agreeing plans with providers and partners that are based on the assessed need of the population health and will improve health outcomes.</w:t>
            </w:r>
          </w:p>
          <w:p w14:paraId="3DE1733D" w14:textId="77777777" w:rsidR="007E3264" w:rsidRPr="00A161AC" w:rsidRDefault="007E3264" w:rsidP="00FC33C8">
            <w:pPr>
              <w:spacing w:after="0" w:line="240" w:lineRule="auto"/>
              <w:rPr>
                <w:rFonts w:eastAsia="Arial" w:cs="Arial"/>
                <w:sz w:val="22"/>
                <w:szCs w:val="22"/>
                <w:lang w:val="en-US"/>
              </w:rPr>
            </w:pPr>
          </w:p>
        </w:tc>
      </w:tr>
      <w:tr w:rsidR="007E3264" w:rsidRPr="00A161AC" w14:paraId="08E81244" w14:textId="77777777" w:rsidTr="00FC33C8">
        <w:tc>
          <w:tcPr>
            <w:tcW w:w="2235" w:type="dxa"/>
          </w:tcPr>
          <w:p w14:paraId="074449BB" w14:textId="77777777" w:rsidR="007E3264" w:rsidRPr="00A161AC" w:rsidRDefault="007E3264" w:rsidP="00FC33C8">
            <w:pPr>
              <w:spacing w:after="0" w:line="240" w:lineRule="auto"/>
              <w:rPr>
                <w:rFonts w:eastAsia="Arial" w:cs="Arial"/>
                <w:b/>
                <w:bCs/>
                <w:sz w:val="22"/>
                <w:szCs w:val="22"/>
                <w:lang w:val="en-US"/>
              </w:rPr>
            </w:pPr>
            <w:r w:rsidRPr="00A161AC">
              <w:rPr>
                <w:rFonts w:eastAsia="Arial" w:cs="Arial"/>
                <w:b/>
                <w:bCs/>
                <w:sz w:val="22"/>
                <w:szCs w:val="22"/>
                <w:lang w:val="en-US"/>
              </w:rPr>
              <w:t>Leadership of the NHS and partnership working</w:t>
            </w:r>
          </w:p>
          <w:p w14:paraId="61CD4EE4" w14:textId="77777777" w:rsidR="007E3264" w:rsidRPr="00A161AC" w:rsidRDefault="007E3264" w:rsidP="00FC33C8">
            <w:pPr>
              <w:spacing w:after="0" w:line="240" w:lineRule="auto"/>
              <w:rPr>
                <w:rFonts w:eastAsia="Arial" w:cs="Arial"/>
                <w:b/>
                <w:bCs/>
                <w:sz w:val="22"/>
                <w:szCs w:val="22"/>
                <w:lang w:val="en-US"/>
              </w:rPr>
            </w:pPr>
          </w:p>
        </w:tc>
        <w:tc>
          <w:tcPr>
            <w:tcW w:w="7525" w:type="dxa"/>
          </w:tcPr>
          <w:p w14:paraId="1C58775E" w14:textId="115DB78E" w:rsidR="007E3264" w:rsidRPr="00A161AC" w:rsidRDefault="007E3264" w:rsidP="00FC33C8">
            <w:pPr>
              <w:spacing w:after="0" w:line="240" w:lineRule="auto"/>
              <w:rPr>
                <w:rFonts w:eastAsia="Arial" w:cs="Arial"/>
                <w:sz w:val="22"/>
                <w:szCs w:val="22"/>
                <w:lang w:val="en-US"/>
              </w:rPr>
            </w:pPr>
            <w:r w:rsidRPr="00A161AC">
              <w:rPr>
                <w:rFonts w:eastAsia="Arial" w:cs="Arial"/>
                <w:sz w:val="22"/>
                <w:szCs w:val="22"/>
                <w:lang w:val="en-US"/>
              </w:rPr>
              <w:t xml:space="preserve">Building strong partnerships and effective governance arrangements with </w:t>
            </w:r>
            <w:proofErr w:type="spellStart"/>
            <w:r w:rsidRPr="00A161AC">
              <w:rPr>
                <w:rFonts w:eastAsia="Arial" w:cs="Arial"/>
                <w:sz w:val="22"/>
                <w:szCs w:val="22"/>
                <w:lang w:val="en-US"/>
              </w:rPr>
              <w:t>organisations</w:t>
            </w:r>
            <w:proofErr w:type="spellEnd"/>
            <w:r w:rsidRPr="00A161AC">
              <w:rPr>
                <w:rFonts w:eastAsia="Arial" w:cs="Arial"/>
                <w:sz w:val="22"/>
                <w:szCs w:val="22"/>
                <w:lang w:val="en-US"/>
              </w:rPr>
              <w:t xml:space="preserve"> and stakeholders in the ICS which enable </w:t>
            </w:r>
            <w:proofErr w:type="spellStart"/>
            <w:r w:rsidRPr="00A161AC">
              <w:rPr>
                <w:rFonts w:eastAsia="Arial" w:cs="Arial"/>
                <w:sz w:val="22"/>
                <w:szCs w:val="22"/>
                <w:lang w:val="en-US"/>
              </w:rPr>
              <w:t>organisations</w:t>
            </w:r>
            <w:proofErr w:type="spellEnd"/>
            <w:r w:rsidRPr="00A161AC">
              <w:rPr>
                <w:rFonts w:eastAsia="Arial" w:cs="Arial"/>
                <w:sz w:val="22"/>
                <w:szCs w:val="22"/>
                <w:lang w:val="en-US"/>
              </w:rPr>
              <w:t xml:space="preserve"> to work together to deliver agreed plans</w:t>
            </w:r>
          </w:p>
        </w:tc>
      </w:tr>
      <w:tr w:rsidR="007E3264" w:rsidRPr="00A161AC" w14:paraId="3D014E2D" w14:textId="77777777" w:rsidTr="00FC33C8">
        <w:tc>
          <w:tcPr>
            <w:tcW w:w="2235" w:type="dxa"/>
          </w:tcPr>
          <w:p w14:paraId="4A116842" w14:textId="77777777" w:rsidR="007E3264" w:rsidRPr="00A161AC" w:rsidRDefault="007E3264" w:rsidP="00FC33C8">
            <w:pPr>
              <w:spacing w:after="0" w:line="240" w:lineRule="auto"/>
              <w:rPr>
                <w:rFonts w:eastAsia="Arial" w:cs="Arial"/>
                <w:b/>
                <w:bCs/>
                <w:sz w:val="22"/>
                <w:szCs w:val="22"/>
                <w:lang w:val="en-US"/>
              </w:rPr>
            </w:pPr>
            <w:r w:rsidRPr="00A161AC">
              <w:rPr>
                <w:rFonts w:eastAsia="Arial" w:cs="Arial"/>
                <w:b/>
                <w:bCs/>
                <w:sz w:val="22"/>
                <w:szCs w:val="22"/>
                <w:lang w:val="en-US"/>
              </w:rPr>
              <w:t>Arranging for the provision of care services (commissioning)</w:t>
            </w:r>
          </w:p>
          <w:p w14:paraId="18D9969A" w14:textId="77777777" w:rsidR="007E3264" w:rsidRPr="00A161AC" w:rsidRDefault="007E3264" w:rsidP="00FC33C8">
            <w:pPr>
              <w:spacing w:after="0" w:line="240" w:lineRule="auto"/>
              <w:rPr>
                <w:rFonts w:eastAsia="Arial" w:cs="Arial"/>
                <w:b/>
                <w:bCs/>
                <w:sz w:val="22"/>
                <w:szCs w:val="22"/>
                <w:lang w:val="en-US"/>
              </w:rPr>
            </w:pPr>
          </w:p>
        </w:tc>
        <w:tc>
          <w:tcPr>
            <w:tcW w:w="7525" w:type="dxa"/>
          </w:tcPr>
          <w:p w14:paraId="6E7357A0" w14:textId="77777777" w:rsidR="007E3264" w:rsidRPr="00A161AC" w:rsidRDefault="007E3264" w:rsidP="00FC33C8">
            <w:pPr>
              <w:spacing w:after="0" w:line="240" w:lineRule="auto"/>
              <w:rPr>
                <w:rFonts w:eastAsia="Arial" w:cs="Arial"/>
                <w:sz w:val="22"/>
                <w:szCs w:val="22"/>
                <w:lang w:val="en-US"/>
              </w:rPr>
            </w:pPr>
            <w:r w:rsidRPr="00A161AC">
              <w:rPr>
                <w:rFonts w:eastAsia="Arial" w:cs="Arial"/>
                <w:sz w:val="22"/>
                <w:szCs w:val="22"/>
                <w:lang w:val="en-US"/>
              </w:rPr>
              <w:t xml:space="preserve">Agreeing and allocating resources to providers. </w:t>
            </w:r>
          </w:p>
          <w:p w14:paraId="59F5927B" w14:textId="77777777" w:rsidR="007E3264" w:rsidRPr="00A161AC" w:rsidRDefault="007E3264" w:rsidP="00FC33C8">
            <w:pPr>
              <w:spacing w:after="0" w:line="240" w:lineRule="auto"/>
              <w:rPr>
                <w:rFonts w:eastAsia="Arial" w:cs="Arial"/>
                <w:sz w:val="22"/>
                <w:szCs w:val="22"/>
                <w:lang w:val="en-US"/>
              </w:rPr>
            </w:pPr>
            <w:r w:rsidRPr="00A161AC">
              <w:rPr>
                <w:rFonts w:eastAsia="Arial" w:cs="Arial"/>
                <w:sz w:val="22"/>
                <w:szCs w:val="22"/>
                <w:lang w:val="en-US"/>
              </w:rPr>
              <w:t>Working in collaboration to design and plan for the provision of services (including for delegated commissioning functions).</w:t>
            </w:r>
          </w:p>
        </w:tc>
      </w:tr>
      <w:tr w:rsidR="007E3264" w:rsidRPr="00A161AC" w14:paraId="745F0460" w14:textId="77777777" w:rsidTr="00FC33C8">
        <w:tc>
          <w:tcPr>
            <w:tcW w:w="2235" w:type="dxa"/>
          </w:tcPr>
          <w:p w14:paraId="7620F7D9" w14:textId="77777777" w:rsidR="007E3264" w:rsidRPr="00A161AC" w:rsidRDefault="007E3264" w:rsidP="00FC33C8">
            <w:pPr>
              <w:spacing w:after="0" w:line="240" w:lineRule="auto"/>
              <w:rPr>
                <w:rFonts w:eastAsia="Arial" w:cs="Arial"/>
                <w:b/>
                <w:bCs/>
                <w:sz w:val="22"/>
                <w:szCs w:val="22"/>
                <w:lang w:val="en-US"/>
              </w:rPr>
            </w:pPr>
            <w:r w:rsidRPr="00A161AC">
              <w:rPr>
                <w:rFonts w:eastAsia="Arial" w:cs="Arial"/>
                <w:b/>
                <w:bCs/>
                <w:sz w:val="22"/>
                <w:szCs w:val="22"/>
                <w:lang w:val="en-US"/>
              </w:rPr>
              <w:t>Assuring performance, quality and delivery</w:t>
            </w:r>
          </w:p>
          <w:p w14:paraId="69D1486D" w14:textId="77777777" w:rsidR="007E3264" w:rsidRPr="00A161AC" w:rsidRDefault="007E3264" w:rsidP="00FC33C8">
            <w:pPr>
              <w:spacing w:after="0" w:line="240" w:lineRule="auto"/>
              <w:rPr>
                <w:rFonts w:eastAsia="Arial" w:cs="Arial"/>
                <w:b/>
                <w:bCs/>
                <w:sz w:val="22"/>
                <w:szCs w:val="22"/>
                <w:lang w:val="en-US"/>
              </w:rPr>
            </w:pPr>
          </w:p>
        </w:tc>
        <w:tc>
          <w:tcPr>
            <w:tcW w:w="7525" w:type="dxa"/>
          </w:tcPr>
          <w:p w14:paraId="1CD45C89" w14:textId="77777777" w:rsidR="007E3264" w:rsidRPr="00A161AC" w:rsidRDefault="007E3264" w:rsidP="00FC33C8">
            <w:pPr>
              <w:spacing w:after="0" w:line="240" w:lineRule="auto"/>
              <w:rPr>
                <w:rFonts w:eastAsia="Arial" w:cs="Arial"/>
                <w:sz w:val="22"/>
                <w:szCs w:val="22"/>
                <w:lang w:val="en-US"/>
              </w:rPr>
            </w:pPr>
            <w:r w:rsidRPr="00A161AC">
              <w:rPr>
                <w:rFonts w:eastAsia="Arial" w:cs="Arial"/>
                <w:sz w:val="22"/>
                <w:szCs w:val="22"/>
                <w:lang w:val="en-US"/>
              </w:rPr>
              <w:t xml:space="preserve">Ensuring that providers deliver against agreed ambitions and spending limits. </w:t>
            </w:r>
          </w:p>
          <w:p w14:paraId="19EEAC91" w14:textId="77777777" w:rsidR="007E3264" w:rsidRPr="00A161AC" w:rsidRDefault="007E3264" w:rsidP="00FC33C8">
            <w:pPr>
              <w:spacing w:after="0" w:line="240" w:lineRule="auto"/>
              <w:rPr>
                <w:rFonts w:eastAsia="Arial" w:cs="Arial"/>
                <w:sz w:val="22"/>
                <w:szCs w:val="22"/>
                <w:lang w:val="en-US"/>
              </w:rPr>
            </w:pPr>
            <w:r w:rsidRPr="00A161AC">
              <w:rPr>
                <w:rFonts w:eastAsia="Arial" w:cs="Arial"/>
                <w:sz w:val="22"/>
                <w:szCs w:val="22"/>
                <w:lang w:val="en-US"/>
              </w:rPr>
              <w:t>Ensuring that appropriate response is in place to address risks to delivery.</w:t>
            </w:r>
          </w:p>
        </w:tc>
      </w:tr>
      <w:tr w:rsidR="007E3264" w:rsidRPr="00A161AC" w14:paraId="62507C8E" w14:textId="77777777" w:rsidTr="00FC33C8">
        <w:tc>
          <w:tcPr>
            <w:tcW w:w="2235" w:type="dxa"/>
          </w:tcPr>
          <w:p w14:paraId="7C37BE93" w14:textId="77777777" w:rsidR="007E3264" w:rsidRPr="00A161AC" w:rsidRDefault="007E3264" w:rsidP="00FC33C8">
            <w:pPr>
              <w:spacing w:after="0" w:line="240" w:lineRule="auto"/>
              <w:rPr>
                <w:rFonts w:eastAsia="Arial" w:cs="Arial"/>
                <w:b/>
                <w:bCs/>
                <w:sz w:val="22"/>
                <w:szCs w:val="22"/>
                <w:lang w:val="en-US"/>
              </w:rPr>
            </w:pPr>
            <w:r w:rsidRPr="00A161AC">
              <w:rPr>
                <w:rFonts w:eastAsia="Arial" w:cs="Arial"/>
                <w:b/>
                <w:bCs/>
                <w:sz w:val="22"/>
                <w:szCs w:val="22"/>
                <w:lang w:val="en-US"/>
              </w:rPr>
              <w:t>Securing transformation and learning</w:t>
            </w:r>
          </w:p>
          <w:p w14:paraId="0196F63B" w14:textId="77777777" w:rsidR="007E3264" w:rsidRPr="00A161AC" w:rsidRDefault="007E3264" w:rsidP="00FC33C8">
            <w:pPr>
              <w:spacing w:after="0" w:line="240" w:lineRule="auto"/>
              <w:rPr>
                <w:rFonts w:eastAsia="Arial" w:cs="Arial"/>
                <w:b/>
                <w:bCs/>
                <w:sz w:val="22"/>
                <w:szCs w:val="22"/>
                <w:lang w:val="en-US"/>
              </w:rPr>
            </w:pPr>
          </w:p>
        </w:tc>
        <w:tc>
          <w:tcPr>
            <w:tcW w:w="7525" w:type="dxa"/>
          </w:tcPr>
          <w:p w14:paraId="1770ED68" w14:textId="77777777" w:rsidR="007E3264" w:rsidRPr="00A161AC" w:rsidRDefault="007E3264" w:rsidP="00FC33C8">
            <w:pPr>
              <w:spacing w:after="0" w:line="240" w:lineRule="auto"/>
              <w:rPr>
                <w:rFonts w:eastAsia="Arial" w:cs="Arial"/>
                <w:sz w:val="22"/>
                <w:szCs w:val="22"/>
                <w:lang w:val="en-US"/>
              </w:rPr>
            </w:pPr>
            <w:r w:rsidRPr="00A161AC">
              <w:rPr>
                <w:rFonts w:eastAsia="Arial" w:cs="Arial"/>
                <w:sz w:val="22"/>
                <w:szCs w:val="22"/>
                <w:lang w:val="en-US"/>
              </w:rPr>
              <w:t>Driving system-wide transformation of services, workforce, data, digital and estates and enabling service quality improvement.</w:t>
            </w:r>
          </w:p>
        </w:tc>
      </w:tr>
      <w:tr w:rsidR="007E3264" w:rsidRPr="00A161AC" w14:paraId="5CA9AB2B" w14:textId="77777777" w:rsidTr="00FC33C8">
        <w:tc>
          <w:tcPr>
            <w:tcW w:w="2235" w:type="dxa"/>
          </w:tcPr>
          <w:p w14:paraId="44C74DC2" w14:textId="77777777" w:rsidR="007E3264" w:rsidRPr="00A161AC" w:rsidRDefault="007E3264" w:rsidP="00FC33C8">
            <w:pPr>
              <w:spacing w:after="0" w:line="240" w:lineRule="auto"/>
              <w:rPr>
                <w:rFonts w:eastAsia="Arial" w:cs="Arial"/>
                <w:b/>
                <w:bCs/>
                <w:sz w:val="22"/>
                <w:szCs w:val="22"/>
                <w:lang w:val="en-US"/>
              </w:rPr>
            </w:pPr>
            <w:r w:rsidRPr="00A161AC">
              <w:rPr>
                <w:rFonts w:eastAsia="Arial" w:cs="Arial"/>
                <w:b/>
                <w:bCs/>
                <w:sz w:val="22"/>
                <w:szCs w:val="22"/>
                <w:lang w:val="en-US"/>
              </w:rPr>
              <w:t>Effective governance and people</w:t>
            </w:r>
          </w:p>
          <w:p w14:paraId="2CFED881" w14:textId="77777777" w:rsidR="007E3264" w:rsidRPr="00A161AC" w:rsidRDefault="007E3264" w:rsidP="00FC33C8">
            <w:pPr>
              <w:spacing w:after="0" w:line="240" w:lineRule="auto"/>
              <w:rPr>
                <w:rFonts w:eastAsia="Arial" w:cs="Arial"/>
                <w:b/>
                <w:bCs/>
                <w:sz w:val="22"/>
                <w:szCs w:val="22"/>
                <w:lang w:val="en-US"/>
              </w:rPr>
            </w:pPr>
          </w:p>
        </w:tc>
        <w:tc>
          <w:tcPr>
            <w:tcW w:w="7525" w:type="dxa"/>
          </w:tcPr>
          <w:p w14:paraId="47C49C36" w14:textId="77777777" w:rsidR="007E3264" w:rsidRPr="00A161AC" w:rsidRDefault="007E3264" w:rsidP="00FC33C8">
            <w:pPr>
              <w:spacing w:after="0" w:line="240" w:lineRule="auto"/>
              <w:rPr>
                <w:rFonts w:eastAsia="Arial" w:cs="Arial"/>
                <w:sz w:val="22"/>
                <w:szCs w:val="22"/>
                <w:lang w:val="en-US"/>
              </w:rPr>
            </w:pPr>
            <w:r w:rsidRPr="00A161AC">
              <w:rPr>
                <w:rFonts w:eastAsia="Arial" w:cs="Arial"/>
                <w:sz w:val="22"/>
                <w:szCs w:val="22"/>
                <w:lang w:val="en-US"/>
              </w:rPr>
              <w:t>Ensuring that the ICB is an effective and well-run organization with a high performing board, robust governance and healthy workforce and culture.</w:t>
            </w:r>
          </w:p>
        </w:tc>
      </w:tr>
    </w:tbl>
    <w:p w14:paraId="6B8F144E" w14:textId="00336093" w:rsidR="003C2F6B" w:rsidRPr="00A161AC" w:rsidRDefault="0040504B" w:rsidP="00981307">
      <w:pPr>
        <w:pStyle w:val="Numberedlist"/>
        <w:numPr>
          <w:ilvl w:val="0"/>
          <w:numId w:val="0"/>
        </w:numPr>
        <w:spacing w:after="0"/>
        <w:ind w:left="357"/>
      </w:pPr>
      <w:r w:rsidRPr="00A161AC">
        <w:rPr>
          <w:sz w:val="20"/>
          <w:szCs w:val="20"/>
        </w:rPr>
        <w:t>Table 5: Functional areas for ICB Capability assessment</w:t>
      </w:r>
    </w:p>
    <w:p w14:paraId="085C6B49" w14:textId="6D7E1CAF" w:rsidR="007B33D4" w:rsidRPr="00A161AC" w:rsidRDefault="00E44D82" w:rsidP="00981307">
      <w:pPr>
        <w:pStyle w:val="Numberedlist"/>
        <w:spacing w:before="300" w:after="0"/>
        <w:ind w:left="714" w:hanging="357"/>
      </w:pPr>
      <w:r w:rsidRPr="00A161AC">
        <w:t xml:space="preserve">We will undertake an annual </w:t>
      </w:r>
      <w:r w:rsidR="00D63C94" w:rsidRPr="00A161AC">
        <w:t xml:space="preserve">capability assessment of each ICB </w:t>
      </w:r>
      <w:r w:rsidR="007D2A70" w:rsidRPr="00A161AC">
        <w:t xml:space="preserve">as part of the </w:t>
      </w:r>
      <w:r w:rsidRPr="00A161AC">
        <w:t>Annual Assessment Process</w:t>
      </w:r>
      <w:r w:rsidR="007B1897" w:rsidRPr="00A161AC">
        <w:t xml:space="preserve"> (see section </w:t>
      </w:r>
      <w:r w:rsidR="001F10B8" w:rsidRPr="00A161AC">
        <w:t>5.1</w:t>
      </w:r>
      <w:r w:rsidR="007B1897" w:rsidRPr="00A161AC">
        <w:t>)</w:t>
      </w:r>
      <w:r w:rsidRPr="00A161AC">
        <w:t xml:space="preserve">. </w:t>
      </w:r>
      <w:r w:rsidR="007B33D4" w:rsidRPr="00A161AC">
        <w:t>These may be reviewed and updated in-year if there is a significant change in circumstance.</w:t>
      </w:r>
    </w:p>
    <w:p w14:paraId="1DF9207C" w14:textId="77777777" w:rsidR="00C2497F" w:rsidRPr="00A161AC" w:rsidRDefault="00C2497F" w:rsidP="009B0A15">
      <w:pPr>
        <w:pStyle w:val="Numberedlist"/>
        <w:numPr>
          <w:ilvl w:val="0"/>
          <w:numId w:val="0"/>
        </w:numPr>
        <w:ind w:left="720"/>
      </w:pPr>
    </w:p>
    <w:p w14:paraId="00607CCE" w14:textId="1A1F4662" w:rsidR="00C2497F" w:rsidRPr="00A161AC" w:rsidRDefault="00C2497F" w:rsidP="00981307">
      <w:pPr>
        <w:pStyle w:val="Numberedlist"/>
        <w:spacing w:after="0"/>
        <w:ind w:left="714" w:hanging="357"/>
      </w:pPr>
      <w:r w:rsidRPr="00A161AC">
        <w:t xml:space="preserve">Figure </w:t>
      </w:r>
      <w:r w:rsidR="00DD26FA" w:rsidRPr="00A161AC">
        <w:t>8</w:t>
      </w:r>
      <w:r w:rsidRPr="00A161AC">
        <w:t xml:space="preserve"> provides an overview of the process through which an ICB capability assessment will be determined.</w:t>
      </w:r>
    </w:p>
    <w:p w14:paraId="35B39388" w14:textId="04471E77" w:rsidR="00C2497F" w:rsidRPr="00A161AC" w:rsidRDefault="00F53460" w:rsidP="009B0A15">
      <w:pPr>
        <w:pStyle w:val="Numberedlist"/>
        <w:numPr>
          <w:ilvl w:val="0"/>
          <w:numId w:val="0"/>
        </w:numPr>
        <w:ind w:left="720"/>
      </w:pPr>
      <w:r w:rsidRPr="00A161AC">
        <w:rPr>
          <w:noProof/>
        </w:rPr>
        <w:drawing>
          <wp:inline distT="0" distB="0" distL="0" distR="0" wp14:anchorId="37E188CC" wp14:editId="6D58F721">
            <wp:extent cx="5364382" cy="2647950"/>
            <wp:effectExtent l="0" t="0" r="8255" b="0"/>
            <wp:docPr id="661184158" name="Picture 3" descr="This diagram shows the steps necessary in the ICB capability assessment process. Starting with the ICB self assessment through reveiw with NHS England and stakeholders. It includes local and regional review and finally, moderation at a national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84158" name="Picture 3" descr="This diagram shows the steps necessary in the ICB capability assessment process. Starting with the ICB self assessment through reveiw with NHS England and stakeholders. It includes local and regional review and finally, moderation at a national level."/>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5312" t="16667" r="21250" b="18889"/>
                    <a:stretch/>
                  </pic:blipFill>
                  <pic:spPr bwMode="auto">
                    <a:xfrm>
                      <a:off x="0" y="0"/>
                      <a:ext cx="5371927" cy="2651674"/>
                    </a:xfrm>
                    <a:prstGeom prst="rect">
                      <a:avLst/>
                    </a:prstGeom>
                    <a:noFill/>
                    <a:ln>
                      <a:noFill/>
                    </a:ln>
                    <a:extLst>
                      <a:ext uri="{53640926-AAD7-44D8-BBD7-CCE9431645EC}">
                        <a14:shadowObscured xmlns:a14="http://schemas.microsoft.com/office/drawing/2010/main"/>
                      </a:ext>
                    </a:extLst>
                  </pic:spPr>
                </pic:pic>
              </a:graphicData>
            </a:graphic>
          </wp:inline>
        </w:drawing>
      </w:r>
    </w:p>
    <w:p w14:paraId="017A463A" w14:textId="77777777" w:rsidR="007B33D4" w:rsidRPr="00A161AC" w:rsidRDefault="007B33D4" w:rsidP="007B33D4">
      <w:pPr>
        <w:pStyle w:val="Numberedlist"/>
        <w:numPr>
          <w:ilvl w:val="0"/>
          <w:numId w:val="0"/>
        </w:numPr>
        <w:ind w:left="992"/>
      </w:pPr>
    </w:p>
    <w:p w14:paraId="25C8E86A" w14:textId="6076ED5C" w:rsidR="00C2497F" w:rsidRPr="00A161AC" w:rsidRDefault="00C2497F" w:rsidP="00467742">
      <w:pPr>
        <w:pStyle w:val="Numberedlist"/>
        <w:numPr>
          <w:ilvl w:val="0"/>
          <w:numId w:val="0"/>
        </w:numPr>
        <w:rPr>
          <w:sz w:val="20"/>
          <w:szCs w:val="20"/>
        </w:rPr>
      </w:pPr>
      <w:r w:rsidRPr="00A161AC">
        <w:rPr>
          <w:sz w:val="20"/>
          <w:szCs w:val="20"/>
        </w:rPr>
        <w:t xml:space="preserve">Figure </w:t>
      </w:r>
      <w:r w:rsidR="00150F9E" w:rsidRPr="00A161AC">
        <w:rPr>
          <w:sz w:val="20"/>
          <w:szCs w:val="20"/>
        </w:rPr>
        <w:t>8</w:t>
      </w:r>
      <w:r w:rsidRPr="00A161AC">
        <w:rPr>
          <w:sz w:val="20"/>
          <w:szCs w:val="20"/>
        </w:rPr>
        <w:t xml:space="preserve">: </w:t>
      </w:r>
      <w:r w:rsidR="00511EEB" w:rsidRPr="00A161AC">
        <w:rPr>
          <w:sz w:val="20"/>
          <w:szCs w:val="20"/>
        </w:rPr>
        <w:t>The</w:t>
      </w:r>
      <w:r w:rsidRPr="00A161AC">
        <w:rPr>
          <w:sz w:val="20"/>
          <w:szCs w:val="20"/>
        </w:rPr>
        <w:t xml:space="preserve"> ICB capability assessment process</w:t>
      </w:r>
    </w:p>
    <w:p w14:paraId="5A89CE53" w14:textId="4D7CDB0E" w:rsidR="00D63C94" w:rsidRPr="00A161AC" w:rsidRDefault="00E44D82" w:rsidP="00981307">
      <w:pPr>
        <w:pStyle w:val="Numberedlist"/>
        <w:spacing w:before="300" w:after="0"/>
        <w:ind w:left="714" w:hanging="357"/>
      </w:pPr>
      <w:r w:rsidRPr="00A161AC">
        <w:t xml:space="preserve">The capability assessment </w:t>
      </w:r>
      <w:r w:rsidR="00D63C94" w:rsidRPr="00A161AC">
        <w:t>will result in a capability rating</w:t>
      </w:r>
      <w:r w:rsidR="007B33D4" w:rsidRPr="00A161AC">
        <w:t xml:space="preserve"> as outlined</w:t>
      </w:r>
      <w:r w:rsidR="00D63C94" w:rsidRPr="00A161AC">
        <w:t xml:space="preserve"> in Table </w:t>
      </w:r>
      <w:r w:rsidR="00B5570A" w:rsidRPr="00A161AC">
        <w:t>6</w:t>
      </w:r>
      <w:r w:rsidR="00D63C94" w:rsidRPr="00A161AC">
        <w:t>.</w:t>
      </w:r>
      <w:r w:rsidR="000271A6" w:rsidRPr="00A161AC">
        <w:t xml:space="preserve"> </w:t>
      </w:r>
      <w:r w:rsidR="004646EE" w:rsidRPr="00A161AC">
        <w:t>The</w:t>
      </w:r>
      <w:r w:rsidR="00CF6663" w:rsidRPr="00A161AC">
        <w:t xml:space="preserve"> single word rating will be </w:t>
      </w:r>
      <w:r w:rsidR="009C7FE0" w:rsidRPr="00A161AC">
        <w:t>determined</w:t>
      </w:r>
      <w:r w:rsidR="00CF6663" w:rsidRPr="00A161AC">
        <w:t xml:space="preserve"> by</w:t>
      </w:r>
      <w:r w:rsidR="0003736E" w:rsidRPr="00A161AC">
        <w:t xml:space="preserve"> </w:t>
      </w:r>
      <w:r w:rsidR="008971E5" w:rsidRPr="00A161AC">
        <w:t>the</w:t>
      </w:r>
      <w:r w:rsidR="009C7FE0" w:rsidRPr="00A161AC">
        <w:t xml:space="preserve"> </w:t>
      </w:r>
      <w:r w:rsidR="00894D6E" w:rsidRPr="00A161AC">
        <w:t>rating</w:t>
      </w:r>
      <w:r w:rsidR="00393A8B" w:rsidRPr="00A161AC">
        <w:t>s</w:t>
      </w:r>
      <w:r w:rsidR="00894D6E" w:rsidRPr="00A161AC">
        <w:t xml:space="preserve"> </w:t>
      </w:r>
      <w:r w:rsidR="008971E5" w:rsidRPr="00A161AC">
        <w:t>given to</w:t>
      </w:r>
      <w:r w:rsidR="00894D6E" w:rsidRPr="00A161AC">
        <w:t xml:space="preserve"> each</w:t>
      </w:r>
      <w:r w:rsidR="00C46542" w:rsidRPr="00A161AC">
        <w:t xml:space="preserve"> </w:t>
      </w:r>
      <w:r w:rsidR="00CF6663" w:rsidRPr="00A161AC">
        <w:t xml:space="preserve">functional </w:t>
      </w:r>
      <w:r w:rsidR="00C46542" w:rsidRPr="00A161AC">
        <w:t>area</w:t>
      </w:r>
      <w:r w:rsidR="007939CB" w:rsidRPr="00A161AC">
        <w:t xml:space="preserve">. </w:t>
      </w:r>
      <w:r w:rsidR="007F3F56" w:rsidRPr="00A161AC">
        <w:t>Once finalised,</w:t>
      </w:r>
      <w:r w:rsidR="00B72D81" w:rsidRPr="00A161AC">
        <w:t xml:space="preserve"> these</w:t>
      </w:r>
      <w:r w:rsidR="008971E5" w:rsidRPr="00A161AC">
        <w:t xml:space="preserve"> will then be published</w:t>
      </w:r>
      <w:r w:rsidR="005C1DD1" w:rsidRPr="00A161AC">
        <w:t xml:space="preserve"> </w:t>
      </w:r>
      <w:r w:rsidR="0003736E" w:rsidRPr="00A161AC">
        <w:t>alongside</w:t>
      </w:r>
      <w:r w:rsidR="00CF6663" w:rsidRPr="00A161AC">
        <w:t xml:space="preserve"> a narrative description </w:t>
      </w:r>
      <w:r w:rsidR="00C46542" w:rsidRPr="00A161AC">
        <w:t>of how the rating decision was reached</w:t>
      </w:r>
      <w:r w:rsidR="005110E2" w:rsidRPr="00A161AC">
        <w:t xml:space="preserve">, including </w:t>
      </w:r>
      <w:r w:rsidR="00A16B2E" w:rsidRPr="00A161AC">
        <w:t>highlight</w:t>
      </w:r>
      <w:r w:rsidR="005110E2" w:rsidRPr="00A161AC">
        <w:t>ing</w:t>
      </w:r>
      <w:r w:rsidR="00A16B2E" w:rsidRPr="00A161AC">
        <w:t xml:space="preserve"> areas of </w:t>
      </w:r>
      <w:r w:rsidR="00293004" w:rsidRPr="00A161AC">
        <w:t>good</w:t>
      </w:r>
      <w:r w:rsidR="00A16B2E" w:rsidRPr="00A161AC">
        <w:t xml:space="preserve"> practice</w:t>
      </w:r>
      <w:r w:rsidR="009A302B" w:rsidRPr="00A161AC">
        <w:t xml:space="preserve"> </w:t>
      </w:r>
      <w:r w:rsidR="005110E2" w:rsidRPr="00A161AC">
        <w:t xml:space="preserve">and areas </w:t>
      </w:r>
      <w:r w:rsidR="000E5389" w:rsidRPr="00A161AC">
        <w:t>where further improvement may be required.</w:t>
      </w:r>
      <w:r w:rsidR="005110E2" w:rsidRPr="00A161AC">
        <w:t xml:space="preserve"> </w:t>
      </w:r>
      <w:r w:rsidR="00924A3B" w:rsidRPr="00A161AC">
        <w:t xml:space="preserve">This narrative </w:t>
      </w:r>
      <w:r w:rsidR="008929FF" w:rsidRPr="00A161AC">
        <w:t xml:space="preserve">will also support </w:t>
      </w:r>
      <w:r w:rsidR="00BD2D07" w:rsidRPr="00A161AC">
        <w:t>leadership</w:t>
      </w:r>
      <w:r w:rsidR="008929FF" w:rsidRPr="00A161AC">
        <w:t xml:space="preserve"> teams </w:t>
      </w:r>
      <w:r w:rsidR="00BD2D07" w:rsidRPr="00A161AC">
        <w:t xml:space="preserve">in appraising and self-assessing </w:t>
      </w:r>
      <w:r w:rsidR="003330B8" w:rsidRPr="00A161AC">
        <w:t xml:space="preserve">in line with the expectations of the NHS Leadership </w:t>
      </w:r>
      <w:r w:rsidR="00853FA0" w:rsidRPr="00A161AC">
        <w:t>Competency</w:t>
      </w:r>
      <w:r w:rsidR="003330B8" w:rsidRPr="00A161AC">
        <w:t xml:space="preserve"> Framework.</w:t>
      </w:r>
    </w:p>
    <w:p w14:paraId="28EFA28E" w14:textId="77777777" w:rsidR="009F3E07" w:rsidRPr="00A161AC" w:rsidRDefault="009F3E07" w:rsidP="00981307">
      <w:pPr>
        <w:pStyle w:val="Numberedlist"/>
        <w:numPr>
          <w:ilvl w:val="0"/>
          <w:numId w:val="0"/>
        </w:numPr>
        <w:spacing w:after="0"/>
        <w:ind w:left="714" w:hanging="357"/>
      </w:pPr>
    </w:p>
    <w:p w14:paraId="204D9FE1" w14:textId="540FF86E" w:rsidR="009F3E07" w:rsidRPr="00A161AC" w:rsidRDefault="009F3E07" w:rsidP="00981307">
      <w:pPr>
        <w:pStyle w:val="Numberedlist"/>
        <w:spacing w:after="0" w:line="240" w:lineRule="auto"/>
        <w:ind w:left="714" w:hanging="357"/>
        <w:rPr>
          <w:rFonts w:eastAsia="Arial"/>
        </w:rPr>
      </w:pPr>
      <w:r w:rsidRPr="00A161AC">
        <w:rPr>
          <w:rFonts w:eastAsia="Arial"/>
        </w:rPr>
        <w:t xml:space="preserve">We will use the ICB’s capability rating to inform our final decision </w:t>
      </w:r>
      <w:r w:rsidR="005F1410" w:rsidRPr="00A161AC">
        <w:rPr>
          <w:rFonts w:eastAsia="Arial"/>
        </w:rPr>
        <w:t>o</w:t>
      </w:r>
      <w:r w:rsidRPr="00A161AC">
        <w:rPr>
          <w:rFonts w:eastAsia="Arial"/>
        </w:rPr>
        <w:t xml:space="preserve">n </w:t>
      </w:r>
      <w:r w:rsidR="00DE4252" w:rsidRPr="00A161AC">
        <w:rPr>
          <w:rFonts w:eastAsia="Arial"/>
        </w:rPr>
        <w:t>an</w:t>
      </w:r>
      <w:r w:rsidRPr="00A161AC">
        <w:rPr>
          <w:rFonts w:eastAsia="Arial"/>
        </w:rPr>
        <w:t xml:space="preserve"> ICB’s segment and associated support</w:t>
      </w:r>
      <w:r w:rsidR="00783D0B" w:rsidRPr="00A161AC">
        <w:rPr>
          <w:rFonts w:eastAsia="Arial"/>
        </w:rPr>
        <w:t xml:space="preserve"> or intervention</w:t>
      </w:r>
      <w:r w:rsidRPr="00A161AC">
        <w:rPr>
          <w:rFonts w:eastAsia="Arial"/>
        </w:rPr>
        <w:t xml:space="preserve"> needs. </w:t>
      </w:r>
    </w:p>
    <w:p w14:paraId="3CE2999B" w14:textId="77777777" w:rsidR="007F562C" w:rsidRPr="00A161AC" w:rsidRDefault="007F562C" w:rsidP="007F562C">
      <w:pPr>
        <w:pStyle w:val="Numberedlist"/>
        <w:numPr>
          <w:ilvl w:val="0"/>
          <w:numId w:val="0"/>
        </w:numPr>
        <w:spacing w:after="0" w:line="240" w:lineRule="auto"/>
        <w:textboxTightWrap w:val="none"/>
      </w:pPr>
    </w:p>
    <w:p w14:paraId="1B9A9D3F" w14:textId="77777777" w:rsidR="00D63C94" w:rsidRPr="00A161AC" w:rsidRDefault="00D63C94" w:rsidP="00D63C94">
      <w:pPr>
        <w:spacing w:after="0" w:line="240" w:lineRule="auto"/>
        <w:textboxTightWrap w:val="none"/>
        <w:rPr>
          <w:b/>
          <w:bCs/>
          <w:highlight w:val="yellow"/>
        </w:rPr>
      </w:pPr>
    </w:p>
    <w:tbl>
      <w:tblPr>
        <w:tblStyle w:val="TableGridLight"/>
        <w:tblW w:w="9854" w:type="dxa"/>
        <w:tblLook w:val="04A0" w:firstRow="1" w:lastRow="0" w:firstColumn="1" w:lastColumn="0" w:noHBand="0" w:noVBand="1"/>
      </w:tblPr>
      <w:tblGrid>
        <w:gridCol w:w="1555"/>
        <w:gridCol w:w="4394"/>
        <w:gridCol w:w="3905"/>
      </w:tblGrid>
      <w:tr w:rsidR="00D63C94" w:rsidRPr="00A161AC" w14:paraId="4A29B281" w14:textId="77777777" w:rsidTr="00FC33C8">
        <w:trPr>
          <w:trHeight w:val="546"/>
        </w:trPr>
        <w:tc>
          <w:tcPr>
            <w:tcW w:w="1555" w:type="dxa"/>
            <w:shd w:val="clear" w:color="auto" w:fill="003087"/>
            <w:vAlign w:val="center"/>
          </w:tcPr>
          <w:p w14:paraId="158F42CB" w14:textId="77777777" w:rsidR="00D63C94" w:rsidRPr="00A161AC" w:rsidRDefault="00D63C94" w:rsidP="00FC33C8">
            <w:pPr>
              <w:spacing w:after="0" w:line="240" w:lineRule="auto"/>
              <w:jc w:val="center"/>
              <w:textboxTightWrap w:val="none"/>
              <w:rPr>
                <w:b/>
                <w:color w:val="FFFFFF" w:themeColor="text1"/>
                <w:sz w:val="22"/>
                <w:szCs w:val="22"/>
              </w:rPr>
            </w:pPr>
            <w:r w:rsidRPr="00A161AC">
              <w:rPr>
                <w:b/>
                <w:color w:val="FFFFFF" w:themeColor="text1"/>
                <w:sz w:val="22"/>
                <w:szCs w:val="22"/>
              </w:rPr>
              <w:t>Rating</w:t>
            </w:r>
          </w:p>
        </w:tc>
        <w:tc>
          <w:tcPr>
            <w:tcW w:w="4394" w:type="dxa"/>
            <w:shd w:val="clear" w:color="auto" w:fill="003087"/>
          </w:tcPr>
          <w:p w14:paraId="34023579" w14:textId="77777777" w:rsidR="00D63C94" w:rsidRPr="00A161AC" w:rsidRDefault="00D63C94" w:rsidP="00FC33C8">
            <w:pPr>
              <w:spacing w:after="0" w:line="240" w:lineRule="auto"/>
              <w:jc w:val="center"/>
              <w:textboxTightWrap w:val="none"/>
              <w:rPr>
                <w:b/>
                <w:bCs/>
                <w:color w:val="FFFFFF" w:themeColor="text1"/>
                <w:sz w:val="22"/>
                <w:szCs w:val="22"/>
              </w:rPr>
            </w:pPr>
          </w:p>
          <w:p w14:paraId="53CA209F" w14:textId="77777777" w:rsidR="00D63C94" w:rsidRPr="00A161AC" w:rsidRDefault="00D63C94" w:rsidP="00FC33C8">
            <w:pPr>
              <w:spacing w:after="0" w:line="240" w:lineRule="auto"/>
              <w:jc w:val="center"/>
              <w:textboxTightWrap w:val="none"/>
              <w:rPr>
                <w:b/>
                <w:bCs/>
                <w:color w:val="FFFFFF" w:themeColor="text1"/>
                <w:sz w:val="22"/>
                <w:szCs w:val="22"/>
              </w:rPr>
            </w:pPr>
            <w:r w:rsidRPr="00A161AC">
              <w:rPr>
                <w:b/>
                <w:bCs/>
                <w:color w:val="FFFFFF" w:themeColor="text1"/>
                <w:sz w:val="22"/>
                <w:szCs w:val="22"/>
              </w:rPr>
              <w:t>Rating description</w:t>
            </w:r>
          </w:p>
          <w:p w14:paraId="0C526069" w14:textId="77777777" w:rsidR="00D63C94" w:rsidRPr="00A161AC" w:rsidRDefault="00D63C94" w:rsidP="00FC33C8">
            <w:pPr>
              <w:spacing w:after="0" w:line="240" w:lineRule="auto"/>
              <w:jc w:val="center"/>
              <w:textboxTightWrap w:val="none"/>
              <w:rPr>
                <w:b/>
                <w:color w:val="FFFFFF" w:themeColor="text1"/>
                <w:sz w:val="22"/>
                <w:szCs w:val="22"/>
              </w:rPr>
            </w:pPr>
          </w:p>
        </w:tc>
        <w:tc>
          <w:tcPr>
            <w:tcW w:w="3905" w:type="dxa"/>
            <w:shd w:val="clear" w:color="auto" w:fill="003087"/>
          </w:tcPr>
          <w:p w14:paraId="4F495E28" w14:textId="77777777" w:rsidR="00D63C94" w:rsidRPr="00A161AC" w:rsidRDefault="00D63C94" w:rsidP="00FC33C8">
            <w:pPr>
              <w:spacing w:after="0" w:line="240" w:lineRule="auto"/>
              <w:jc w:val="center"/>
              <w:textboxTightWrap w:val="none"/>
              <w:rPr>
                <w:b/>
                <w:bCs/>
                <w:color w:val="FFFFFF" w:themeColor="text1"/>
                <w:sz w:val="22"/>
                <w:szCs w:val="22"/>
              </w:rPr>
            </w:pPr>
          </w:p>
          <w:p w14:paraId="4CADFF58" w14:textId="77777777" w:rsidR="00D63C94" w:rsidRPr="00A161AC" w:rsidRDefault="00D63C94" w:rsidP="00FC33C8">
            <w:pPr>
              <w:spacing w:after="0" w:line="240" w:lineRule="auto"/>
              <w:jc w:val="center"/>
              <w:textboxTightWrap w:val="none"/>
              <w:rPr>
                <w:b/>
                <w:bCs/>
                <w:color w:val="FFFFFF" w:themeColor="text1"/>
                <w:sz w:val="22"/>
                <w:szCs w:val="22"/>
              </w:rPr>
            </w:pPr>
            <w:r w:rsidRPr="00A161AC">
              <w:rPr>
                <w:b/>
                <w:bCs/>
                <w:color w:val="FFFFFF" w:themeColor="text1"/>
                <w:sz w:val="22"/>
                <w:szCs w:val="22"/>
              </w:rPr>
              <w:t>Potential support or interventions</w:t>
            </w:r>
          </w:p>
        </w:tc>
      </w:tr>
      <w:tr w:rsidR="00D63C94" w:rsidRPr="00A161AC" w14:paraId="52019CBD" w14:textId="77777777" w:rsidTr="00FC33C8">
        <w:trPr>
          <w:trHeight w:val="1239"/>
        </w:trPr>
        <w:tc>
          <w:tcPr>
            <w:tcW w:w="1555" w:type="dxa"/>
            <w:shd w:val="clear" w:color="auto" w:fill="FFFFFF" w:themeFill="text1"/>
            <w:vAlign w:val="center"/>
          </w:tcPr>
          <w:p w14:paraId="3CB1C90B" w14:textId="77777777" w:rsidR="00D63C94" w:rsidRPr="00A161AC" w:rsidRDefault="00D63C94" w:rsidP="00FC33C8">
            <w:pPr>
              <w:spacing w:after="0" w:line="240" w:lineRule="auto"/>
              <w:jc w:val="center"/>
              <w:textboxTightWrap w:val="none"/>
              <w:rPr>
                <w:sz w:val="22"/>
                <w:szCs w:val="22"/>
              </w:rPr>
            </w:pPr>
            <w:r w:rsidRPr="00A161AC">
              <w:rPr>
                <w:sz w:val="22"/>
                <w:szCs w:val="22"/>
              </w:rPr>
              <w:t>Excelling</w:t>
            </w:r>
          </w:p>
        </w:tc>
        <w:tc>
          <w:tcPr>
            <w:tcW w:w="4394" w:type="dxa"/>
            <w:shd w:val="clear" w:color="auto" w:fill="FFFFFF" w:themeFill="text1"/>
          </w:tcPr>
          <w:p w14:paraId="0B7A7E18" w14:textId="77777777" w:rsidR="00D63C94" w:rsidRPr="00A161AC" w:rsidRDefault="00D63C94" w:rsidP="00FC33C8">
            <w:pPr>
              <w:spacing w:after="0" w:line="240" w:lineRule="auto"/>
              <w:jc w:val="center"/>
              <w:textboxTightWrap w:val="none"/>
              <w:rPr>
                <w:sz w:val="22"/>
                <w:szCs w:val="22"/>
              </w:rPr>
            </w:pPr>
            <w:r w:rsidRPr="00A161AC">
              <w:rPr>
                <w:sz w:val="22"/>
                <w:szCs w:val="22"/>
              </w:rPr>
              <w:t>The ICB can demonstrate it fully delivers/excels against all key lines of enquiry outlined under each activity</w:t>
            </w:r>
          </w:p>
        </w:tc>
        <w:tc>
          <w:tcPr>
            <w:tcW w:w="3905" w:type="dxa"/>
            <w:shd w:val="clear" w:color="auto" w:fill="FFFFFF" w:themeFill="text1"/>
          </w:tcPr>
          <w:p w14:paraId="7544230D" w14:textId="77777777" w:rsidR="00D63C94" w:rsidRPr="00A161AC" w:rsidRDefault="00D63C94" w:rsidP="00FC33C8">
            <w:pPr>
              <w:spacing w:after="0" w:line="240" w:lineRule="auto"/>
              <w:jc w:val="center"/>
              <w:textboxTightWrap w:val="none"/>
              <w:rPr>
                <w:sz w:val="22"/>
                <w:szCs w:val="22"/>
              </w:rPr>
            </w:pPr>
            <w:r w:rsidRPr="00A161AC">
              <w:rPr>
                <w:sz w:val="22"/>
                <w:szCs w:val="22"/>
              </w:rPr>
              <w:t>No Specific support or intervention needs are identified. Expected to offer peer support to others or support the development of best practice tools.</w:t>
            </w:r>
            <w:r w:rsidRPr="00A161AC">
              <w:rPr>
                <w:sz w:val="22"/>
                <w:szCs w:val="22"/>
              </w:rPr>
              <w:br/>
            </w:r>
          </w:p>
        </w:tc>
      </w:tr>
      <w:tr w:rsidR="00D63C94" w:rsidRPr="00A161AC" w14:paraId="1FE6A373" w14:textId="77777777" w:rsidTr="00FC33C8">
        <w:trPr>
          <w:trHeight w:val="1319"/>
        </w:trPr>
        <w:tc>
          <w:tcPr>
            <w:tcW w:w="1555" w:type="dxa"/>
            <w:shd w:val="clear" w:color="auto" w:fill="FFFFFF" w:themeFill="text1"/>
            <w:vAlign w:val="center"/>
          </w:tcPr>
          <w:p w14:paraId="22E6D19C" w14:textId="77777777" w:rsidR="00D63C94" w:rsidRPr="00A161AC" w:rsidRDefault="00D63C94" w:rsidP="00FC33C8">
            <w:pPr>
              <w:spacing w:after="0" w:line="240" w:lineRule="auto"/>
              <w:jc w:val="center"/>
              <w:textboxTightWrap w:val="none"/>
              <w:rPr>
                <w:sz w:val="22"/>
                <w:szCs w:val="22"/>
              </w:rPr>
            </w:pPr>
            <w:r w:rsidRPr="00A161AC">
              <w:rPr>
                <w:sz w:val="22"/>
                <w:szCs w:val="22"/>
              </w:rPr>
              <w:t xml:space="preserve">Achieving </w:t>
            </w:r>
          </w:p>
        </w:tc>
        <w:tc>
          <w:tcPr>
            <w:tcW w:w="4394" w:type="dxa"/>
            <w:shd w:val="clear" w:color="auto" w:fill="FFFFFF" w:themeFill="text1"/>
          </w:tcPr>
          <w:p w14:paraId="0C040413" w14:textId="77777777" w:rsidR="00D63C94" w:rsidRPr="00A161AC" w:rsidRDefault="00D63C94" w:rsidP="00FC33C8">
            <w:pPr>
              <w:spacing w:after="0" w:line="240" w:lineRule="auto"/>
              <w:jc w:val="center"/>
              <w:textboxTightWrap w:val="none"/>
              <w:rPr>
                <w:sz w:val="22"/>
                <w:szCs w:val="22"/>
              </w:rPr>
            </w:pPr>
            <w:r w:rsidRPr="00A161AC">
              <w:rPr>
                <w:sz w:val="22"/>
                <w:szCs w:val="22"/>
              </w:rPr>
              <w:t>The ICB can demonstrate it fully delivers against most of the key lines of enquiry under each activity (with partial delivery against some)</w:t>
            </w:r>
          </w:p>
        </w:tc>
        <w:tc>
          <w:tcPr>
            <w:tcW w:w="3905" w:type="dxa"/>
            <w:shd w:val="clear" w:color="auto" w:fill="FFFFFF" w:themeFill="text1"/>
          </w:tcPr>
          <w:p w14:paraId="111CFB70" w14:textId="77777777" w:rsidR="00D63C94" w:rsidRPr="00A161AC" w:rsidRDefault="00D63C94" w:rsidP="00FC33C8">
            <w:pPr>
              <w:spacing w:after="0" w:line="240" w:lineRule="auto"/>
              <w:jc w:val="center"/>
              <w:textboxTightWrap w:val="none"/>
              <w:rPr>
                <w:sz w:val="22"/>
                <w:szCs w:val="22"/>
              </w:rPr>
            </w:pPr>
            <w:r w:rsidRPr="00A161AC">
              <w:rPr>
                <w:sz w:val="22"/>
                <w:szCs w:val="22"/>
              </w:rPr>
              <w:t>Limited support or intervention required. Support on specific issues may be provided where appropriate.</w:t>
            </w:r>
          </w:p>
        </w:tc>
      </w:tr>
      <w:tr w:rsidR="00D63C94" w:rsidRPr="00A161AC" w14:paraId="3A130AB9" w14:textId="77777777" w:rsidTr="00FC33C8">
        <w:trPr>
          <w:trHeight w:val="1341"/>
        </w:trPr>
        <w:tc>
          <w:tcPr>
            <w:tcW w:w="1555" w:type="dxa"/>
            <w:shd w:val="clear" w:color="auto" w:fill="FFFFFF" w:themeFill="text1"/>
            <w:vAlign w:val="center"/>
          </w:tcPr>
          <w:p w14:paraId="6E19293F" w14:textId="77777777" w:rsidR="00D63C94" w:rsidRPr="00A161AC" w:rsidRDefault="00D63C94" w:rsidP="00FC33C8">
            <w:pPr>
              <w:spacing w:after="0" w:line="240" w:lineRule="auto"/>
              <w:jc w:val="center"/>
              <w:textboxTightWrap w:val="none"/>
              <w:rPr>
                <w:sz w:val="22"/>
                <w:szCs w:val="22"/>
              </w:rPr>
            </w:pPr>
            <w:r w:rsidRPr="00A161AC">
              <w:rPr>
                <w:sz w:val="22"/>
                <w:szCs w:val="22"/>
              </w:rPr>
              <w:lastRenderedPageBreak/>
              <w:t>Progressing</w:t>
            </w:r>
          </w:p>
        </w:tc>
        <w:tc>
          <w:tcPr>
            <w:tcW w:w="4394" w:type="dxa"/>
            <w:shd w:val="clear" w:color="auto" w:fill="FFFFFF" w:themeFill="text1"/>
          </w:tcPr>
          <w:p w14:paraId="5650581C" w14:textId="77777777" w:rsidR="00D63C94" w:rsidRPr="00A161AC" w:rsidRDefault="00D63C94" w:rsidP="00FC33C8">
            <w:pPr>
              <w:spacing w:after="0" w:line="240" w:lineRule="auto"/>
              <w:jc w:val="center"/>
              <w:textboxTightWrap w:val="none"/>
              <w:rPr>
                <w:sz w:val="22"/>
                <w:szCs w:val="22"/>
              </w:rPr>
            </w:pPr>
            <w:r w:rsidRPr="00A161AC">
              <w:rPr>
                <w:sz w:val="22"/>
                <w:szCs w:val="22"/>
              </w:rPr>
              <w:t>The ICB can demonstrate partial delivery of all key lines of enquiry under each activity or full delivery of a small number</w:t>
            </w:r>
          </w:p>
        </w:tc>
        <w:tc>
          <w:tcPr>
            <w:tcW w:w="3905" w:type="dxa"/>
            <w:shd w:val="clear" w:color="auto" w:fill="FFFFFF" w:themeFill="text1"/>
          </w:tcPr>
          <w:p w14:paraId="63511EAF" w14:textId="77777777" w:rsidR="00D63C94" w:rsidRPr="00A161AC" w:rsidRDefault="00D63C94" w:rsidP="00FC33C8">
            <w:pPr>
              <w:spacing w:after="0" w:line="240" w:lineRule="auto"/>
              <w:jc w:val="center"/>
              <w:textboxTightWrap w:val="none"/>
              <w:rPr>
                <w:sz w:val="22"/>
                <w:szCs w:val="22"/>
              </w:rPr>
            </w:pPr>
            <w:r w:rsidRPr="00A161AC">
              <w:rPr>
                <w:sz w:val="22"/>
                <w:szCs w:val="22"/>
              </w:rPr>
              <w:t xml:space="preserve">We work in partnership with the ICB to oversee the providers in the ICS. Bespoke regional support may be provided to develop capability.   </w:t>
            </w:r>
          </w:p>
        </w:tc>
      </w:tr>
      <w:tr w:rsidR="00D63C94" w:rsidRPr="00A161AC" w14:paraId="798DEA79" w14:textId="77777777" w:rsidTr="00FC33C8">
        <w:trPr>
          <w:trHeight w:val="169"/>
        </w:trPr>
        <w:tc>
          <w:tcPr>
            <w:tcW w:w="1555" w:type="dxa"/>
            <w:shd w:val="clear" w:color="auto" w:fill="FFFFFF" w:themeFill="text1"/>
            <w:vAlign w:val="center"/>
          </w:tcPr>
          <w:p w14:paraId="078F2B4F" w14:textId="77777777" w:rsidR="00D63C94" w:rsidRPr="00A161AC" w:rsidRDefault="00D63C94" w:rsidP="00FC33C8">
            <w:pPr>
              <w:spacing w:after="0" w:line="240" w:lineRule="auto"/>
              <w:jc w:val="center"/>
              <w:textboxTightWrap w:val="none"/>
              <w:rPr>
                <w:sz w:val="22"/>
                <w:szCs w:val="22"/>
              </w:rPr>
            </w:pPr>
            <w:r w:rsidRPr="00A161AC">
              <w:rPr>
                <w:sz w:val="22"/>
                <w:szCs w:val="22"/>
              </w:rPr>
              <w:t>Insufficient Progress</w:t>
            </w:r>
          </w:p>
        </w:tc>
        <w:tc>
          <w:tcPr>
            <w:tcW w:w="4394" w:type="dxa"/>
            <w:shd w:val="clear" w:color="auto" w:fill="FFFFFF" w:themeFill="text1"/>
          </w:tcPr>
          <w:p w14:paraId="1A7D2FD9" w14:textId="51955AA7" w:rsidR="00D63C94" w:rsidRPr="00A161AC" w:rsidRDefault="00D63C94" w:rsidP="00FC33C8">
            <w:pPr>
              <w:spacing w:after="0" w:line="240" w:lineRule="auto"/>
              <w:jc w:val="center"/>
              <w:textboxTightWrap w:val="none"/>
              <w:rPr>
                <w:sz w:val="22"/>
                <w:szCs w:val="22"/>
              </w:rPr>
            </w:pPr>
            <w:r w:rsidRPr="00A161AC">
              <w:rPr>
                <w:sz w:val="22"/>
                <w:szCs w:val="22"/>
              </w:rPr>
              <w:t xml:space="preserve">The ICB </w:t>
            </w:r>
            <w:r w:rsidR="000E61D4" w:rsidRPr="00A161AC">
              <w:rPr>
                <w:sz w:val="22"/>
                <w:szCs w:val="22"/>
              </w:rPr>
              <w:t xml:space="preserve">has not </w:t>
            </w:r>
            <w:r w:rsidRPr="00A161AC">
              <w:rPr>
                <w:sz w:val="22"/>
                <w:szCs w:val="22"/>
              </w:rPr>
              <w:t>demonstrate</w:t>
            </w:r>
            <w:r w:rsidR="000E61D4" w:rsidRPr="00A161AC">
              <w:rPr>
                <w:sz w:val="22"/>
                <w:szCs w:val="22"/>
              </w:rPr>
              <w:t xml:space="preserve">d, or </w:t>
            </w:r>
            <w:r w:rsidRPr="00A161AC">
              <w:rPr>
                <w:sz w:val="22"/>
                <w:szCs w:val="22"/>
              </w:rPr>
              <w:t xml:space="preserve">cannot </w:t>
            </w:r>
            <w:r w:rsidR="000E61D4" w:rsidRPr="00A161AC">
              <w:rPr>
                <w:sz w:val="22"/>
                <w:szCs w:val="22"/>
              </w:rPr>
              <w:t xml:space="preserve">currently </w:t>
            </w:r>
            <w:r w:rsidRPr="00A161AC">
              <w:rPr>
                <w:sz w:val="22"/>
                <w:szCs w:val="22"/>
              </w:rPr>
              <w:t>demonstrate</w:t>
            </w:r>
            <w:r w:rsidR="000E61D4" w:rsidRPr="00A161AC">
              <w:rPr>
                <w:sz w:val="22"/>
                <w:szCs w:val="22"/>
              </w:rPr>
              <w:t>,</w:t>
            </w:r>
            <w:r w:rsidRPr="00A161AC">
              <w:rPr>
                <w:sz w:val="22"/>
                <w:szCs w:val="22"/>
              </w:rPr>
              <w:t xml:space="preserve"> delivery against the key lines of enquiry / can only demonstrate partial delivery of some key lines of enquiry under the activities</w:t>
            </w:r>
          </w:p>
        </w:tc>
        <w:tc>
          <w:tcPr>
            <w:tcW w:w="3905" w:type="dxa"/>
            <w:shd w:val="clear" w:color="auto" w:fill="FFFFFF" w:themeFill="text1"/>
          </w:tcPr>
          <w:p w14:paraId="4FA14982" w14:textId="34AF4A90" w:rsidR="00D63C94" w:rsidRPr="00A161AC" w:rsidRDefault="00D63C94" w:rsidP="00FC33C8">
            <w:pPr>
              <w:spacing w:after="0" w:line="240" w:lineRule="auto"/>
              <w:jc w:val="center"/>
              <w:textboxTightWrap w:val="none"/>
              <w:rPr>
                <w:sz w:val="22"/>
                <w:szCs w:val="22"/>
              </w:rPr>
            </w:pPr>
            <w:r w:rsidRPr="00A161AC">
              <w:rPr>
                <w:sz w:val="22"/>
                <w:szCs w:val="22"/>
              </w:rPr>
              <w:t xml:space="preserve">We work in partnership with the ICB to oversee the providers in the ICS. We may </w:t>
            </w:r>
            <w:r w:rsidR="00737065" w:rsidRPr="00A161AC">
              <w:rPr>
                <w:sz w:val="22"/>
                <w:szCs w:val="22"/>
              </w:rPr>
              <w:t>consider</w:t>
            </w:r>
            <w:r w:rsidRPr="00A161AC">
              <w:rPr>
                <w:sz w:val="22"/>
                <w:szCs w:val="22"/>
              </w:rPr>
              <w:t xml:space="preserve"> entry </w:t>
            </w:r>
            <w:r w:rsidR="00CB73BE" w:rsidRPr="00A161AC">
              <w:rPr>
                <w:sz w:val="22"/>
                <w:szCs w:val="22"/>
              </w:rPr>
              <w:t xml:space="preserve">of the ICB </w:t>
            </w:r>
            <w:r w:rsidRPr="00A161AC">
              <w:rPr>
                <w:sz w:val="22"/>
                <w:szCs w:val="22"/>
              </w:rPr>
              <w:t xml:space="preserve">into the Recovery Support Programme if </w:t>
            </w:r>
            <w:r w:rsidR="00626B50" w:rsidRPr="00A161AC">
              <w:rPr>
                <w:sz w:val="22"/>
                <w:szCs w:val="22"/>
              </w:rPr>
              <w:t>we are</w:t>
            </w:r>
            <w:r w:rsidR="00CB73BE" w:rsidRPr="00A161AC">
              <w:rPr>
                <w:sz w:val="22"/>
                <w:szCs w:val="22"/>
              </w:rPr>
              <w:t xml:space="preserve"> </w:t>
            </w:r>
            <w:r w:rsidR="00626B50" w:rsidRPr="00A161AC">
              <w:rPr>
                <w:sz w:val="22"/>
                <w:szCs w:val="22"/>
              </w:rPr>
              <w:t>sufficiently</w:t>
            </w:r>
            <w:r w:rsidR="00CB73BE" w:rsidRPr="00A161AC">
              <w:rPr>
                <w:sz w:val="22"/>
                <w:szCs w:val="22"/>
              </w:rPr>
              <w:t xml:space="preserve"> concern</w:t>
            </w:r>
            <w:r w:rsidR="00626B50" w:rsidRPr="00A161AC">
              <w:rPr>
                <w:sz w:val="22"/>
                <w:szCs w:val="22"/>
              </w:rPr>
              <w:t>ed</w:t>
            </w:r>
            <w:r w:rsidRPr="00A161AC">
              <w:rPr>
                <w:sz w:val="22"/>
                <w:szCs w:val="22"/>
              </w:rPr>
              <w:t xml:space="preserve">. </w:t>
            </w:r>
          </w:p>
        </w:tc>
      </w:tr>
    </w:tbl>
    <w:p w14:paraId="16B18BEA" w14:textId="1C9EC959" w:rsidR="00D63C94" w:rsidRPr="00A161AC" w:rsidRDefault="00981307" w:rsidP="00981307">
      <w:pPr>
        <w:spacing w:after="0" w:line="240" w:lineRule="auto"/>
        <w:textboxTightWrap w:val="none"/>
        <w:rPr>
          <w:sz w:val="22"/>
          <w:szCs w:val="22"/>
        </w:rPr>
      </w:pPr>
      <w:r w:rsidRPr="00A161AC">
        <w:rPr>
          <w:sz w:val="22"/>
          <w:szCs w:val="22"/>
        </w:rPr>
        <w:t xml:space="preserve">Table 6: ICB Capability Ratings </w:t>
      </w:r>
    </w:p>
    <w:p w14:paraId="0E91EB5C" w14:textId="5AC7DC7A" w:rsidR="00D63C94" w:rsidRPr="00A161AC" w:rsidRDefault="00682FCA" w:rsidP="00CD6E11">
      <w:pPr>
        <w:pStyle w:val="h3numbered"/>
        <w:numPr>
          <w:ilvl w:val="0"/>
          <w:numId w:val="0"/>
        </w:numPr>
      </w:pPr>
      <w:bookmarkStart w:id="24" w:name="_Toc160636214"/>
      <w:bookmarkStart w:id="25" w:name="_Toc163574930"/>
      <w:r w:rsidRPr="00A161AC">
        <w:t>5</w:t>
      </w:r>
      <w:r w:rsidR="00411B7D" w:rsidRPr="00A161AC">
        <w:t>.</w:t>
      </w:r>
      <w:r w:rsidR="003C0BDB" w:rsidRPr="00A161AC">
        <w:t>3</w:t>
      </w:r>
      <w:r w:rsidR="00EB6E74" w:rsidRPr="00A161AC">
        <w:tab/>
      </w:r>
      <w:r w:rsidR="005E5FA5" w:rsidRPr="00A161AC">
        <w:t xml:space="preserve">Evaluating </w:t>
      </w:r>
      <w:r w:rsidR="00D63C94" w:rsidRPr="00A161AC">
        <w:t>Provider Capability</w:t>
      </w:r>
      <w:bookmarkEnd w:id="24"/>
      <w:bookmarkEnd w:id="25"/>
      <w:r w:rsidR="00CD6E11" w:rsidRPr="00A161AC">
        <w:br/>
      </w:r>
    </w:p>
    <w:p w14:paraId="1322CCAB" w14:textId="67FEC408" w:rsidR="00167882" w:rsidRPr="00A161AC" w:rsidRDefault="2FE88AC7" w:rsidP="00981307">
      <w:pPr>
        <w:pStyle w:val="Numberedlist"/>
        <w:spacing w:after="0"/>
        <w:ind w:left="714" w:hanging="357"/>
        <w:rPr>
          <w:rFonts w:eastAsia="Arial"/>
        </w:rPr>
      </w:pPr>
      <w:r w:rsidRPr="00A161AC">
        <w:rPr>
          <w:rFonts w:eastAsia="Arial"/>
        </w:rPr>
        <w:t>The NHS</w:t>
      </w:r>
      <w:r w:rsidR="276CB361" w:rsidRPr="00A161AC">
        <w:rPr>
          <w:rFonts w:eastAsia="Arial"/>
        </w:rPr>
        <w:t xml:space="preserve"> provider licence </w:t>
      </w:r>
      <w:r w:rsidR="0C059676" w:rsidRPr="00A161AC">
        <w:rPr>
          <w:rFonts w:eastAsia="Arial"/>
        </w:rPr>
        <w:t>s</w:t>
      </w:r>
      <w:r w:rsidR="276CB361" w:rsidRPr="00A161AC">
        <w:rPr>
          <w:rFonts w:eastAsia="Arial"/>
        </w:rPr>
        <w:t>ets specific requirements</w:t>
      </w:r>
      <w:r w:rsidR="73736874" w:rsidRPr="00A161AC">
        <w:rPr>
          <w:rFonts w:eastAsia="Arial"/>
        </w:rPr>
        <w:t xml:space="preserve"> on trust</w:t>
      </w:r>
      <w:r w:rsidR="2ADF6FE6" w:rsidRPr="00A161AC">
        <w:rPr>
          <w:rFonts w:eastAsia="Arial"/>
        </w:rPr>
        <w:t xml:space="preserve"> governance, including</w:t>
      </w:r>
      <w:r w:rsidR="3A00328E" w:rsidRPr="00A161AC">
        <w:rPr>
          <w:rFonts w:eastAsia="Arial"/>
        </w:rPr>
        <w:t xml:space="preserve"> the ability to</w:t>
      </w:r>
      <w:r w:rsidR="276CB361" w:rsidRPr="00A161AC">
        <w:rPr>
          <w:rFonts w:eastAsia="Arial"/>
        </w:rPr>
        <w:t xml:space="preserve"> </w:t>
      </w:r>
      <w:r w:rsidR="29FAE4F4" w:rsidRPr="00A161AC">
        <w:rPr>
          <w:rFonts w:eastAsia="Arial"/>
        </w:rPr>
        <w:t xml:space="preserve">deliver national </w:t>
      </w:r>
      <w:r w:rsidR="1D004532" w:rsidRPr="00A161AC">
        <w:rPr>
          <w:rFonts w:eastAsia="Arial"/>
        </w:rPr>
        <w:t>priorities</w:t>
      </w:r>
      <w:r w:rsidR="29FAE4F4" w:rsidRPr="00A161AC">
        <w:rPr>
          <w:rFonts w:eastAsia="Arial"/>
        </w:rPr>
        <w:t xml:space="preserve">, </w:t>
      </w:r>
      <w:r w:rsidR="10D8AD8A" w:rsidRPr="00A161AC">
        <w:rPr>
          <w:rFonts w:eastAsia="Arial"/>
        </w:rPr>
        <w:t xml:space="preserve">maintaining </w:t>
      </w:r>
      <w:r w:rsidR="29FAE4F4" w:rsidRPr="00A161AC">
        <w:rPr>
          <w:rFonts w:eastAsia="Arial"/>
        </w:rPr>
        <w:t>standards</w:t>
      </w:r>
      <w:r w:rsidR="7510725D" w:rsidRPr="00A161AC">
        <w:rPr>
          <w:rFonts w:eastAsia="Arial"/>
        </w:rPr>
        <w:t xml:space="preserve"> of</w:t>
      </w:r>
      <w:r w:rsidR="29FAE4F4" w:rsidRPr="00A161AC">
        <w:rPr>
          <w:rFonts w:eastAsia="Arial"/>
        </w:rPr>
        <w:t xml:space="preserve"> </w:t>
      </w:r>
      <w:r w:rsidR="276CB361" w:rsidRPr="00A161AC">
        <w:rPr>
          <w:rFonts w:eastAsia="Arial"/>
        </w:rPr>
        <w:t xml:space="preserve">organisational </w:t>
      </w:r>
      <w:r w:rsidR="0EDB2770" w:rsidRPr="00A161AC">
        <w:rPr>
          <w:rFonts w:eastAsia="Arial"/>
        </w:rPr>
        <w:t xml:space="preserve">and </w:t>
      </w:r>
      <w:r w:rsidR="276CB361" w:rsidRPr="00A161AC">
        <w:rPr>
          <w:rFonts w:eastAsia="Arial"/>
        </w:rPr>
        <w:t xml:space="preserve">quality </w:t>
      </w:r>
      <w:r w:rsidR="71475141" w:rsidRPr="00A161AC">
        <w:rPr>
          <w:rFonts w:eastAsia="Arial"/>
        </w:rPr>
        <w:t>governance</w:t>
      </w:r>
      <w:r w:rsidR="003E37E7" w:rsidRPr="00A161AC">
        <w:rPr>
          <w:rFonts w:eastAsia="Arial"/>
        </w:rPr>
        <w:t>,</w:t>
      </w:r>
      <w:r w:rsidR="276CB361" w:rsidRPr="00A161AC">
        <w:rPr>
          <w:rFonts w:eastAsia="Arial"/>
        </w:rPr>
        <w:t xml:space="preserve"> and collaboratin</w:t>
      </w:r>
      <w:r w:rsidR="5793A415" w:rsidRPr="00A161AC">
        <w:rPr>
          <w:rFonts w:eastAsia="Arial"/>
        </w:rPr>
        <w:t>g effectively</w:t>
      </w:r>
      <w:r w:rsidR="276CB361" w:rsidRPr="00A161AC">
        <w:rPr>
          <w:rFonts w:eastAsia="Arial"/>
        </w:rPr>
        <w:t xml:space="preserve"> with system partners. </w:t>
      </w:r>
    </w:p>
    <w:p w14:paraId="46BA62D3" w14:textId="3BFCE0EE" w:rsidR="00167882" w:rsidRPr="00A161AC" w:rsidRDefault="00167882" w:rsidP="00981307">
      <w:pPr>
        <w:pStyle w:val="Numberedlist"/>
        <w:numPr>
          <w:ilvl w:val="0"/>
          <w:numId w:val="0"/>
        </w:numPr>
        <w:spacing w:after="0"/>
        <w:ind w:left="714" w:hanging="357"/>
        <w:rPr>
          <w:rFonts w:eastAsia="Arial"/>
        </w:rPr>
      </w:pPr>
    </w:p>
    <w:p w14:paraId="756DB6DD" w14:textId="03BA7BBE" w:rsidR="00167882" w:rsidRPr="00A161AC" w:rsidRDefault="47103843" w:rsidP="00981307">
      <w:pPr>
        <w:pStyle w:val="Numberedlist"/>
        <w:spacing w:after="0"/>
        <w:ind w:left="714" w:hanging="357"/>
        <w:rPr>
          <w:rFonts w:eastAsia="Arial"/>
        </w:rPr>
      </w:pPr>
      <w:r w:rsidRPr="00A161AC">
        <w:rPr>
          <w:rFonts w:eastAsia="Arial"/>
        </w:rPr>
        <w:t>To reflect this, w</w:t>
      </w:r>
      <w:r w:rsidR="00EC4CAF" w:rsidRPr="00A161AC">
        <w:rPr>
          <w:rFonts w:eastAsia="Arial"/>
        </w:rPr>
        <w:t xml:space="preserve">e </w:t>
      </w:r>
      <w:r w:rsidR="26B1FEC3" w:rsidRPr="00A161AC">
        <w:rPr>
          <w:rFonts w:eastAsia="Arial"/>
        </w:rPr>
        <w:t xml:space="preserve">will </w:t>
      </w:r>
      <w:r w:rsidR="7091C6A7" w:rsidRPr="00A161AC">
        <w:rPr>
          <w:rFonts w:eastAsia="Arial"/>
        </w:rPr>
        <w:t>consider</w:t>
      </w:r>
      <w:r w:rsidR="393D2BC3" w:rsidRPr="00A161AC">
        <w:rPr>
          <w:rFonts w:eastAsia="Arial"/>
        </w:rPr>
        <w:t xml:space="preserve"> </w:t>
      </w:r>
      <w:r w:rsidR="4D3FB0A0" w:rsidRPr="00A161AC">
        <w:rPr>
          <w:rFonts w:eastAsia="Arial"/>
        </w:rPr>
        <w:t>provider</w:t>
      </w:r>
      <w:r w:rsidR="393D2BC3" w:rsidRPr="00A161AC">
        <w:rPr>
          <w:rFonts w:eastAsia="Arial"/>
        </w:rPr>
        <w:t xml:space="preserve"> capability </w:t>
      </w:r>
      <w:r w:rsidR="60D98F58" w:rsidRPr="00A161AC">
        <w:rPr>
          <w:rFonts w:eastAsia="Arial"/>
        </w:rPr>
        <w:t>when</w:t>
      </w:r>
      <w:r w:rsidR="7A246F21" w:rsidRPr="00A161AC">
        <w:rPr>
          <w:rFonts w:eastAsia="Arial"/>
        </w:rPr>
        <w:t xml:space="preserve"> allocating them a segment. </w:t>
      </w:r>
      <w:r w:rsidR="3FD6C547" w:rsidRPr="00A161AC">
        <w:rPr>
          <w:rFonts w:eastAsia="Arial"/>
        </w:rPr>
        <w:t>T</w:t>
      </w:r>
      <w:r w:rsidR="7A63B165" w:rsidRPr="00A161AC">
        <w:rPr>
          <w:rFonts w:eastAsia="Arial"/>
        </w:rPr>
        <w:t xml:space="preserve">his will </w:t>
      </w:r>
      <w:r w:rsidR="7A246F21" w:rsidRPr="00A161AC">
        <w:rPr>
          <w:rFonts w:eastAsia="Arial"/>
        </w:rPr>
        <w:t>incorporate</w:t>
      </w:r>
      <w:r w:rsidR="38722944" w:rsidRPr="00A161AC">
        <w:rPr>
          <w:rFonts w:eastAsia="Arial"/>
        </w:rPr>
        <w:t>, for a given provider</w:t>
      </w:r>
      <w:r w:rsidR="00167882" w:rsidRPr="00A161AC">
        <w:rPr>
          <w:rFonts w:eastAsia="Arial"/>
        </w:rPr>
        <w:t>:</w:t>
      </w:r>
    </w:p>
    <w:p w14:paraId="1B745320" w14:textId="50261012" w:rsidR="00331319" w:rsidRPr="00A161AC" w:rsidRDefault="05156E12" w:rsidP="00981307">
      <w:pPr>
        <w:pStyle w:val="Numberedlist"/>
        <w:numPr>
          <w:ilvl w:val="1"/>
          <w:numId w:val="2"/>
        </w:numPr>
        <w:spacing w:after="0"/>
        <w:ind w:left="1775" w:hanging="357"/>
        <w:rPr>
          <w:rFonts w:eastAsia="Arial"/>
        </w:rPr>
      </w:pPr>
      <w:r w:rsidRPr="00A161AC">
        <w:rPr>
          <w:rFonts w:eastAsia="Arial"/>
        </w:rPr>
        <w:t>its</w:t>
      </w:r>
      <w:r w:rsidR="00167882" w:rsidRPr="00A161AC">
        <w:rPr>
          <w:rFonts w:eastAsia="Arial"/>
        </w:rPr>
        <w:t xml:space="preserve"> CQC well-led rating; </w:t>
      </w:r>
    </w:p>
    <w:p w14:paraId="63657ABD" w14:textId="35BBD4E7" w:rsidR="004D3640" w:rsidRPr="00A161AC" w:rsidRDefault="7D32993B" w:rsidP="00981307">
      <w:pPr>
        <w:pStyle w:val="Numberedlist"/>
        <w:numPr>
          <w:ilvl w:val="1"/>
          <w:numId w:val="2"/>
        </w:numPr>
        <w:spacing w:after="0"/>
        <w:ind w:left="1775" w:hanging="357"/>
        <w:rPr>
          <w:rFonts w:eastAsia="Arial"/>
        </w:rPr>
      </w:pPr>
      <w:r w:rsidRPr="00A161AC">
        <w:rPr>
          <w:rFonts w:eastAsia="Arial"/>
        </w:rPr>
        <w:t xml:space="preserve">issues uncovered following </w:t>
      </w:r>
      <w:r w:rsidR="180E41F7" w:rsidRPr="00A161AC">
        <w:rPr>
          <w:rFonts w:eastAsia="Arial"/>
        </w:rPr>
        <w:t xml:space="preserve">any </w:t>
      </w:r>
      <w:r w:rsidR="4A75E102" w:rsidRPr="00A161AC">
        <w:rPr>
          <w:rFonts w:eastAsia="Arial"/>
        </w:rPr>
        <w:t>relevant third</w:t>
      </w:r>
      <w:r w:rsidR="6ABB2C70" w:rsidRPr="00A161AC">
        <w:rPr>
          <w:rFonts w:eastAsia="Arial"/>
        </w:rPr>
        <w:t>-</w:t>
      </w:r>
      <w:r w:rsidR="4A75E102" w:rsidRPr="00A161AC">
        <w:rPr>
          <w:rFonts w:eastAsia="Arial"/>
        </w:rPr>
        <w:t>party information</w:t>
      </w:r>
      <w:r w:rsidR="00331319" w:rsidRPr="00A161AC">
        <w:rPr>
          <w:rFonts w:eastAsia="Arial"/>
        </w:rPr>
        <w:t>;</w:t>
      </w:r>
      <w:r w:rsidR="004D3640" w:rsidRPr="00A161AC">
        <w:rPr>
          <w:rFonts w:eastAsia="Arial"/>
        </w:rPr>
        <w:t xml:space="preserve"> and</w:t>
      </w:r>
    </w:p>
    <w:p w14:paraId="3F90E014" w14:textId="0F5A3469" w:rsidR="001113F1" w:rsidRPr="00A161AC" w:rsidRDefault="7988BCA4" w:rsidP="00981307">
      <w:pPr>
        <w:pStyle w:val="Numberedlist"/>
        <w:numPr>
          <w:ilvl w:val="1"/>
          <w:numId w:val="2"/>
        </w:numPr>
        <w:spacing w:after="0"/>
        <w:ind w:left="1775" w:hanging="357"/>
        <w:rPr>
          <w:rFonts w:eastAsia="Arial"/>
        </w:rPr>
      </w:pPr>
      <w:r w:rsidRPr="00A161AC">
        <w:rPr>
          <w:rFonts w:eastAsia="Arial"/>
        </w:rPr>
        <w:t>the b</w:t>
      </w:r>
      <w:r w:rsidR="1CA007B4" w:rsidRPr="00A161AC">
        <w:rPr>
          <w:rFonts w:eastAsia="Arial"/>
        </w:rPr>
        <w:t>oard</w:t>
      </w:r>
      <w:r w:rsidR="4F2A14C3" w:rsidRPr="00A161AC">
        <w:rPr>
          <w:rFonts w:eastAsia="Arial"/>
        </w:rPr>
        <w:t>s</w:t>
      </w:r>
      <w:r w:rsidR="545159C4" w:rsidRPr="00A161AC">
        <w:rPr>
          <w:rFonts w:eastAsia="Arial"/>
        </w:rPr>
        <w:t>’ organisational awareness</w:t>
      </w:r>
      <w:r w:rsidR="7AB7A8FC" w:rsidRPr="00A161AC">
        <w:rPr>
          <w:rFonts w:eastAsia="Arial"/>
        </w:rPr>
        <w:t xml:space="preserve"> and track record of delivery</w:t>
      </w:r>
      <w:r w:rsidR="00736B91" w:rsidRPr="00A161AC">
        <w:rPr>
          <w:rFonts w:eastAsia="Arial"/>
        </w:rPr>
        <w:t>.</w:t>
      </w:r>
      <w:r w:rsidR="00331319" w:rsidRPr="00A161AC">
        <w:rPr>
          <w:rFonts w:eastAsia="Arial"/>
        </w:rPr>
        <w:t xml:space="preserve"> </w:t>
      </w:r>
    </w:p>
    <w:p w14:paraId="62927E6D" w14:textId="6B8C6AB5" w:rsidR="127166EA" w:rsidRPr="00A161AC" w:rsidRDefault="127166EA" w:rsidP="795F8548">
      <w:pPr>
        <w:pStyle w:val="Numberedlist"/>
        <w:numPr>
          <w:ilvl w:val="0"/>
          <w:numId w:val="0"/>
        </w:numPr>
        <w:ind w:left="360"/>
        <w:rPr>
          <w:rFonts w:eastAsia="Arial"/>
        </w:rPr>
      </w:pPr>
      <w:r w:rsidRPr="00A161AC">
        <w:rPr>
          <w:rFonts w:eastAsia="Arial"/>
        </w:rPr>
        <w:t xml:space="preserve"> </w:t>
      </w:r>
    </w:p>
    <w:p w14:paraId="09F9E3CB" w14:textId="6CB60A3D" w:rsidR="1204E4BC" w:rsidRPr="00A161AC" w:rsidRDefault="1204E4BC" w:rsidP="646C2838">
      <w:pPr>
        <w:pStyle w:val="ListParagraph"/>
        <w:rPr>
          <w:rFonts w:eastAsia="Arial"/>
          <w:b/>
          <w:bCs/>
        </w:rPr>
      </w:pPr>
      <w:r w:rsidRPr="00A161AC">
        <w:rPr>
          <w:rFonts w:eastAsia="Arial"/>
          <w:b/>
        </w:rPr>
        <w:t>CQC well-led rating</w:t>
      </w:r>
    </w:p>
    <w:p w14:paraId="3112720A" w14:textId="4B4494DF" w:rsidR="1204E4BC" w:rsidRPr="00A161AC" w:rsidRDefault="1204E4BC" w:rsidP="00981307">
      <w:pPr>
        <w:pStyle w:val="Numberedlist"/>
        <w:spacing w:after="0"/>
        <w:ind w:left="714" w:hanging="357"/>
        <w:rPr>
          <w:rFonts w:eastAsia="Arial"/>
        </w:rPr>
      </w:pPr>
      <w:r w:rsidRPr="00A161AC">
        <w:rPr>
          <w:rFonts w:eastAsia="Arial"/>
        </w:rPr>
        <w:t>The CQC</w:t>
      </w:r>
      <w:r w:rsidR="45DB1D54" w:rsidRPr="00A161AC">
        <w:rPr>
          <w:rFonts w:eastAsia="Arial"/>
        </w:rPr>
        <w:t xml:space="preserve"> introduced its well-led ratings for providers in 2014 and</w:t>
      </w:r>
      <w:r w:rsidR="1FECF9E8" w:rsidRPr="00A161AC">
        <w:rPr>
          <w:rFonts w:eastAsia="Arial"/>
        </w:rPr>
        <w:t xml:space="preserve">, following its latest iteration, </w:t>
      </w:r>
      <w:r w:rsidR="45DB1D54" w:rsidRPr="00A161AC">
        <w:rPr>
          <w:rFonts w:eastAsia="Arial"/>
        </w:rPr>
        <w:t>this continue</w:t>
      </w:r>
      <w:r w:rsidR="713ACB24" w:rsidRPr="00A161AC">
        <w:rPr>
          <w:rFonts w:eastAsia="Arial"/>
        </w:rPr>
        <w:t>s</w:t>
      </w:r>
      <w:r w:rsidR="45DB1D54" w:rsidRPr="00A161AC">
        <w:rPr>
          <w:rFonts w:eastAsia="Arial"/>
        </w:rPr>
        <w:t xml:space="preserve"> to be an important element of how we evaluate the capability of providers and their management.</w:t>
      </w:r>
      <w:r w:rsidR="2B4B398D" w:rsidRPr="00A161AC">
        <w:rPr>
          <w:rFonts w:eastAsia="Arial"/>
        </w:rPr>
        <w:t xml:space="preserve"> </w:t>
      </w:r>
    </w:p>
    <w:p w14:paraId="7D7399C6" w14:textId="10848450" w:rsidR="646C2838" w:rsidRPr="00A161AC" w:rsidRDefault="646C2838" w:rsidP="795F8548">
      <w:pPr>
        <w:pStyle w:val="Numberedlist"/>
        <w:numPr>
          <w:ilvl w:val="0"/>
          <w:numId w:val="0"/>
        </w:numPr>
        <w:rPr>
          <w:rFonts w:eastAsia="Arial"/>
        </w:rPr>
      </w:pPr>
    </w:p>
    <w:p w14:paraId="23E0A170" w14:textId="27D1D04F" w:rsidR="2B4B398D" w:rsidRPr="00A161AC" w:rsidRDefault="2B4B398D" w:rsidP="795F8548">
      <w:pPr>
        <w:pStyle w:val="ListParagraph"/>
        <w:rPr>
          <w:rFonts w:eastAsia="Arial"/>
          <w:b/>
        </w:rPr>
      </w:pPr>
      <w:r w:rsidRPr="00A161AC">
        <w:rPr>
          <w:rFonts w:eastAsia="Arial"/>
          <w:b/>
        </w:rPr>
        <w:t xml:space="preserve">Relevant </w:t>
      </w:r>
      <w:r w:rsidR="007230C1" w:rsidRPr="00A161AC">
        <w:rPr>
          <w:rFonts w:eastAsia="Arial"/>
          <w:b/>
        </w:rPr>
        <w:t>third-party</w:t>
      </w:r>
      <w:r w:rsidRPr="00A161AC">
        <w:rPr>
          <w:rFonts w:eastAsia="Arial"/>
          <w:b/>
        </w:rPr>
        <w:t xml:space="preserve"> information</w:t>
      </w:r>
    </w:p>
    <w:p w14:paraId="34B62D0E" w14:textId="57422305" w:rsidR="20AB61FB" w:rsidRPr="00A161AC" w:rsidRDefault="20AB61FB" w:rsidP="00981307">
      <w:pPr>
        <w:pStyle w:val="Numberedlist"/>
        <w:spacing w:after="0"/>
        <w:ind w:left="714" w:hanging="357"/>
        <w:rPr>
          <w:rFonts w:eastAsia="Arial"/>
        </w:rPr>
      </w:pPr>
      <w:r w:rsidRPr="00A161AC">
        <w:rPr>
          <w:rFonts w:eastAsia="Arial"/>
        </w:rPr>
        <w:t xml:space="preserve">Issues in recent years </w:t>
      </w:r>
      <w:r w:rsidR="0C0EA3A0" w:rsidRPr="00A161AC">
        <w:rPr>
          <w:rFonts w:eastAsia="Arial"/>
        </w:rPr>
        <w:t>demonstrate</w:t>
      </w:r>
      <w:r w:rsidRPr="00A161AC">
        <w:rPr>
          <w:rFonts w:eastAsia="Arial"/>
        </w:rPr>
        <w:t xml:space="preserve"> the importance of </w:t>
      </w:r>
      <w:r w:rsidR="44303869" w:rsidRPr="00A161AC">
        <w:rPr>
          <w:rFonts w:eastAsia="Arial"/>
        </w:rPr>
        <w:t xml:space="preserve">capturing and responding to </w:t>
      </w:r>
      <w:r w:rsidR="00F512F7" w:rsidRPr="00A161AC">
        <w:rPr>
          <w:rFonts w:eastAsia="Arial"/>
        </w:rPr>
        <w:t>third-party</w:t>
      </w:r>
      <w:r w:rsidRPr="00A161AC">
        <w:rPr>
          <w:rFonts w:eastAsia="Arial"/>
        </w:rPr>
        <w:t xml:space="preserve"> information </w:t>
      </w:r>
      <w:r w:rsidR="384E93CF" w:rsidRPr="00A161AC">
        <w:rPr>
          <w:rFonts w:eastAsia="Arial"/>
        </w:rPr>
        <w:t xml:space="preserve">that may highlight </w:t>
      </w:r>
      <w:r w:rsidR="36919675" w:rsidRPr="00A161AC">
        <w:rPr>
          <w:rFonts w:eastAsia="Arial"/>
        </w:rPr>
        <w:t>issue</w:t>
      </w:r>
      <w:r w:rsidR="7B8806D2" w:rsidRPr="00A161AC">
        <w:rPr>
          <w:rFonts w:eastAsia="Arial"/>
        </w:rPr>
        <w:t>s</w:t>
      </w:r>
      <w:r w:rsidR="384E93CF" w:rsidRPr="00A161AC">
        <w:rPr>
          <w:rFonts w:eastAsia="Arial"/>
        </w:rPr>
        <w:t xml:space="preserve"> at providers. As a result, we will consider </w:t>
      </w:r>
      <w:r w:rsidR="6943FF71" w:rsidRPr="00A161AC">
        <w:rPr>
          <w:rFonts w:eastAsia="Arial"/>
        </w:rPr>
        <w:t xml:space="preserve">the results of any </w:t>
      </w:r>
      <w:r w:rsidR="1788B21E" w:rsidRPr="00A161AC">
        <w:rPr>
          <w:rFonts w:eastAsia="Arial"/>
        </w:rPr>
        <w:t>investigati</w:t>
      </w:r>
      <w:r w:rsidR="0DEFC852" w:rsidRPr="00A161AC">
        <w:rPr>
          <w:rFonts w:eastAsia="Arial"/>
        </w:rPr>
        <w:t xml:space="preserve">ons arising from </w:t>
      </w:r>
      <w:r w:rsidR="384E93CF" w:rsidRPr="00A161AC">
        <w:rPr>
          <w:rFonts w:eastAsia="Arial"/>
        </w:rPr>
        <w:t xml:space="preserve">information </w:t>
      </w:r>
      <w:r w:rsidR="0DEFC852" w:rsidRPr="00A161AC">
        <w:rPr>
          <w:rFonts w:eastAsia="Arial"/>
        </w:rPr>
        <w:t>received from</w:t>
      </w:r>
      <w:r w:rsidR="1788B21E" w:rsidRPr="00A161AC">
        <w:rPr>
          <w:rFonts w:eastAsia="Arial"/>
        </w:rPr>
        <w:t xml:space="preserve"> </w:t>
      </w:r>
      <w:r w:rsidR="384E93CF" w:rsidRPr="00A161AC">
        <w:rPr>
          <w:rFonts w:eastAsia="Arial"/>
        </w:rPr>
        <w:t xml:space="preserve">sources including: </w:t>
      </w:r>
    </w:p>
    <w:p w14:paraId="0BF549A2" w14:textId="1A78117D" w:rsidR="20AB61FB" w:rsidRPr="00A161AC" w:rsidRDefault="62E6830E" w:rsidP="00981307">
      <w:pPr>
        <w:pStyle w:val="ListParagraph"/>
        <w:numPr>
          <w:ilvl w:val="1"/>
          <w:numId w:val="2"/>
        </w:numPr>
        <w:spacing w:after="0"/>
        <w:ind w:left="1775" w:hanging="357"/>
        <w:rPr>
          <w:rFonts w:eastAsia="Arial"/>
        </w:rPr>
      </w:pPr>
      <w:r w:rsidRPr="00A161AC">
        <w:rPr>
          <w:rFonts w:eastAsia="Arial"/>
        </w:rPr>
        <w:t>other regulators, such as the Health &amp; Safety Executive, the Information Commissioner and Human Tissue Authority</w:t>
      </w:r>
      <w:r w:rsidR="006E7C8A" w:rsidRPr="00A161AC">
        <w:rPr>
          <w:rFonts w:eastAsia="Arial"/>
        </w:rPr>
        <w:t>;</w:t>
      </w:r>
    </w:p>
    <w:p w14:paraId="77FD94E7" w14:textId="0B43A448" w:rsidR="20AB61FB" w:rsidRPr="00A161AC" w:rsidRDefault="700CDDF2" w:rsidP="00981307">
      <w:pPr>
        <w:pStyle w:val="ListParagraph"/>
        <w:numPr>
          <w:ilvl w:val="1"/>
          <w:numId w:val="2"/>
        </w:numPr>
        <w:spacing w:after="0"/>
        <w:ind w:left="1775" w:hanging="357"/>
        <w:rPr>
          <w:rFonts w:eastAsia="Arial"/>
        </w:rPr>
      </w:pPr>
      <w:r w:rsidRPr="00A161AC">
        <w:rPr>
          <w:rFonts w:eastAsia="Arial"/>
        </w:rPr>
        <w:t>p</w:t>
      </w:r>
      <w:r w:rsidR="1AF14E90" w:rsidRPr="00A161AC">
        <w:rPr>
          <w:rFonts w:eastAsia="Arial"/>
        </w:rPr>
        <w:t>rofessional</w:t>
      </w:r>
      <w:r w:rsidR="62E6830E" w:rsidRPr="00A161AC">
        <w:rPr>
          <w:rFonts w:eastAsia="Arial"/>
        </w:rPr>
        <w:t xml:space="preserve"> </w:t>
      </w:r>
      <w:r w:rsidR="1F66E489" w:rsidRPr="00A161AC">
        <w:rPr>
          <w:rFonts w:eastAsia="Arial"/>
        </w:rPr>
        <w:t>medical and clinical bodies, such as the GMC, NMC and Royal Colleges</w:t>
      </w:r>
      <w:r w:rsidR="006E7C8A" w:rsidRPr="00A161AC">
        <w:rPr>
          <w:rFonts w:eastAsia="Arial"/>
        </w:rPr>
        <w:t>;</w:t>
      </w:r>
    </w:p>
    <w:p w14:paraId="59C60D27" w14:textId="35753FC1" w:rsidR="20AB61FB" w:rsidRPr="00A161AC" w:rsidRDefault="2D6945EB" w:rsidP="00981307">
      <w:pPr>
        <w:pStyle w:val="ListParagraph"/>
        <w:numPr>
          <w:ilvl w:val="1"/>
          <w:numId w:val="2"/>
        </w:numPr>
        <w:spacing w:after="0"/>
        <w:ind w:left="1775" w:hanging="357"/>
        <w:rPr>
          <w:rFonts w:eastAsia="Arial"/>
        </w:rPr>
      </w:pPr>
      <w:r w:rsidRPr="00A161AC">
        <w:rPr>
          <w:rFonts w:eastAsia="Arial"/>
        </w:rPr>
        <w:t>i</w:t>
      </w:r>
      <w:r w:rsidR="688AB0D1" w:rsidRPr="00A161AC">
        <w:rPr>
          <w:rFonts w:eastAsia="Arial"/>
        </w:rPr>
        <w:t xml:space="preserve">nformation from the ICB and </w:t>
      </w:r>
      <w:r w:rsidR="12F86414" w:rsidRPr="00A161AC">
        <w:rPr>
          <w:rFonts w:eastAsia="Arial"/>
        </w:rPr>
        <w:t>CQC ICS reviews</w:t>
      </w:r>
      <w:r w:rsidR="521750A3" w:rsidRPr="00A161AC">
        <w:rPr>
          <w:rFonts w:eastAsia="Arial"/>
        </w:rPr>
        <w:t xml:space="preserve"> which may flag any</w:t>
      </w:r>
      <w:r w:rsidR="6261952C" w:rsidRPr="00A161AC">
        <w:rPr>
          <w:rFonts w:eastAsia="Arial"/>
        </w:rPr>
        <w:t xml:space="preserve"> collaboration issues</w:t>
      </w:r>
      <w:r w:rsidR="006E7C8A" w:rsidRPr="00A161AC">
        <w:rPr>
          <w:rFonts w:eastAsia="Arial"/>
        </w:rPr>
        <w:t>; and</w:t>
      </w:r>
    </w:p>
    <w:p w14:paraId="6E19C6A3" w14:textId="0DF90BDC" w:rsidR="17192851" w:rsidRPr="00A161AC" w:rsidRDefault="4D38A18B" w:rsidP="00981307">
      <w:pPr>
        <w:pStyle w:val="ListParagraph"/>
        <w:numPr>
          <w:ilvl w:val="1"/>
          <w:numId w:val="2"/>
        </w:numPr>
        <w:spacing w:after="0"/>
        <w:ind w:left="1775" w:hanging="357"/>
        <w:rPr>
          <w:rFonts w:eastAsia="Arial"/>
        </w:rPr>
      </w:pPr>
      <w:r w:rsidRPr="00A161AC">
        <w:rPr>
          <w:rFonts w:eastAsia="Arial"/>
        </w:rPr>
        <w:lastRenderedPageBreak/>
        <w:t>c</w:t>
      </w:r>
      <w:r w:rsidR="03404754" w:rsidRPr="00A161AC">
        <w:rPr>
          <w:rFonts w:eastAsia="Arial"/>
        </w:rPr>
        <w:t>linical and cultu</w:t>
      </w:r>
      <w:r w:rsidR="0BB1F5E0" w:rsidRPr="00A161AC">
        <w:rPr>
          <w:rFonts w:eastAsia="Arial"/>
        </w:rPr>
        <w:t>r</w:t>
      </w:r>
      <w:r w:rsidR="03404754" w:rsidRPr="00A161AC">
        <w:rPr>
          <w:rFonts w:eastAsia="Arial"/>
        </w:rPr>
        <w:t>al issues e.g. coroners, trends in whistleblowing, Freedom To Speak Up</w:t>
      </w:r>
      <w:r w:rsidR="2F75A319" w:rsidRPr="00A161AC">
        <w:rPr>
          <w:rFonts w:eastAsia="Arial"/>
        </w:rPr>
        <w:t xml:space="preserve"> (FTSU)</w:t>
      </w:r>
      <w:r w:rsidR="03404754" w:rsidRPr="00A161AC">
        <w:rPr>
          <w:rFonts w:eastAsia="Arial"/>
        </w:rPr>
        <w:t xml:space="preserve"> report</w:t>
      </w:r>
      <w:r w:rsidR="0A66B3C9" w:rsidRPr="00A161AC">
        <w:rPr>
          <w:rFonts w:eastAsia="Arial"/>
        </w:rPr>
        <w:t>s</w:t>
      </w:r>
      <w:r w:rsidR="03404754" w:rsidRPr="00A161AC">
        <w:rPr>
          <w:rFonts w:eastAsia="Arial"/>
        </w:rPr>
        <w:t xml:space="preserve">. </w:t>
      </w:r>
      <w:r w:rsidR="20AB61FB" w:rsidRPr="00A161AC">
        <w:rPr>
          <w:rFonts w:eastAsia="Arial"/>
        </w:rPr>
        <w:t xml:space="preserve"> </w:t>
      </w:r>
      <w:r w:rsidR="45DB1D54" w:rsidRPr="00A161AC">
        <w:rPr>
          <w:rFonts w:eastAsia="Arial"/>
        </w:rPr>
        <w:t xml:space="preserve"> </w:t>
      </w:r>
    </w:p>
    <w:p w14:paraId="7B17EBD7" w14:textId="337EB7A3" w:rsidR="3B36B8CA" w:rsidRPr="00A161AC" w:rsidRDefault="3B36B8CA" w:rsidP="795F8548">
      <w:pPr>
        <w:pStyle w:val="ListParagraph"/>
        <w:rPr>
          <w:rFonts w:eastAsia="Arial"/>
          <w:b/>
          <w:bCs/>
        </w:rPr>
      </w:pPr>
      <w:r w:rsidRPr="00A161AC">
        <w:rPr>
          <w:rFonts w:eastAsia="Arial"/>
          <w:b/>
          <w:bCs/>
        </w:rPr>
        <w:t>Board self-certification and organisational awareness</w:t>
      </w:r>
    </w:p>
    <w:p w14:paraId="224B0C10" w14:textId="49EC92DC" w:rsidR="00596930" w:rsidRPr="00A161AC" w:rsidRDefault="098C62BC" w:rsidP="005678A6">
      <w:pPr>
        <w:pStyle w:val="Numberedlist"/>
        <w:spacing w:after="0"/>
        <w:ind w:left="714" w:hanging="357"/>
        <w:rPr>
          <w:rFonts w:eastAsia="Arial"/>
        </w:rPr>
      </w:pPr>
      <w:r w:rsidRPr="00A161AC">
        <w:rPr>
          <w:rFonts w:eastAsia="Arial"/>
        </w:rPr>
        <w:t xml:space="preserve">Provider </w:t>
      </w:r>
      <w:r w:rsidR="00CF0BEC" w:rsidRPr="00A161AC">
        <w:rPr>
          <w:rFonts w:eastAsia="Arial"/>
        </w:rPr>
        <w:t>B</w:t>
      </w:r>
      <w:r w:rsidRPr="00A161AC">
        <w:rPr>
          <w:rFonts w:eastAsia="Arial"/>
        </w:rPr>
        <w:t>oards represent the first line of oversight and assurance. To reflect this</w:t>
      </w:r>
      <w:r w:rsidR="00D759AC" w:rsidRPr="00A161AC">
        <w:rPr>
          <w:rFonts w:eastAsia="Arial"/>
        </w:rPr>
        <w:t>,</w:t>
      </w:r>
      <w:r w:rsidR="006052CB" w:rsidRPr="00A161AC">
        <w:rPr>
          <w:rFonts w:eastAsia="Arial"/>
        </w:rPr>
        <w:t xml:space="preserve"> </w:t>
      </w:r>
      <w:r w:rsidR="00D63C94" w:rsidRPr="00A161AC">
        <w:rPr>
          <w:rFonts w:eastAsia="Arial"/>
        </w:rPr>
        <w:t>support a level of organisational responsibility</w:t>
      </w:r>
      <w:r w:rsidR="4140F02A" w:rsidRPr="00A161AC">
        <w:rPr>
          <w:rFonts w:eastAsia="Arial"/>
        </w:rPr>
        <w:t>, collaboration with system partners</w:t>
      </w:r>
      <w:r w:rsidR="00117CAA" w:rsidRPr="00A161AC">
        <w:rPr>
          <w:rFonts w:eastAsia="Arial"/>
        </w:rPr>
        <w:t>,</w:t>
      </w:r>
      <w:r w:rsidR="00D63C94" w:rsidRPr="00A161AC">
        <w:rPr>
          <w:rFonts w:eastAsia="Arial"/>
        </w:rPr>
        <w:t xml:space="preserve"> and commitment to </w:t>
      </w:r>
      <w:r w:rsidR="2B6D7046" w:rsidRPr="00A161AC">
        <w:rPr>
          <w:rFonts w:eastAsia="Arial"/>
        </w:rPr>
        <w:t xml:space="preserve">continuous </w:t>
      </w:r>
      <w:r w:rsidR="00D63C94" w:rsidRPr="00A161AC">
        <w:rPr>
          <w:rFonts w:eastAsia="Arial"/>
        </w:rPr>
        <w:t>improvement at provider boards, we will require boards</w:t>
      </w:r>
      <w:r w:rsidR="67DCFC13" w:rsidRPr="00A161AC">
        <w:rPr>
          <w:rFonts w:eastAsia="Arial"/>
        </w:rPr>
        <w:t xml:space="preserve"> as part of their annual planning returns </w:t>
      </w:r>
      <w:r w:rsidR="00D63C94" w:rsidRPr="00A161AC">
        <w:rPr>
          <w:rFonts w:eastAsia="Arial"/>
        </w:rPr>
        <w:t xml:space="preserve">to self-assess against specific </w:t>
      </w:r>
      <w:r w:rsidR="6731DE9E" w:rsidRPr="00A161AC">
        <w:rPr>
          <w:rFonts w:eastAsia="Arial"/>
        </w:rPr>
        <w:t>areas</w:t>
      </w:r>
      <w:r w:rsidR="00D63C94" w:rsidRPr="00A161AC">
        <w:rPr>
          <w:rFonts w:eastAsia="Arial"/>
        </w:rPr>
        <w:t xml:space="preserve"> on behalf of their organisation</w:t>
      </w:r>
      <w:r w:rsidR="48ED6984" w:rsidRPr="00A161AC">
        <w:rPr>
          <w:rFonts w:eastAsia="Arial"/>
        </w:rPr>
        <w:t xml:space="preserve">. These </w:t>
      </w:r>
      <w:r w:rsidR="63EF9A53" w:rsidRPr="00A161AC">
        <w:rPr>
          <w:rFonts w:eastAsia="Arial"/>
        </w:rPr>
        <w:t>areas</w:t>
      </w:r>
      <w:r w:rsidR="596BF958" w:rsidRPr="00A161AC">
        <w:rPr>
          <w:rFonts w:eastAsia="Arial"/>
        </w:rPr>
        <w:t xml:space="preserve"> will</w:t>
      </w:r>
      <w:r w:rsidR="63EF9A53" w:rsidRPr="00A161AC">
        <w:rPr>
          <w:rFonts w:eastAsia="Arial"/>
        </w:rPr>
        <w:t xml:space="preserve"> includ</w:t>
      </w:r>
      <w:r w:rsidR="2A88AE94" w:rsidRPr="00A161AC">
        <w:rPr>
          <w:rFonts w:eastAsia="Arial"/>
        </w:rPr>
        <w:t>e</w:t>
      </w:r>
      <w:r w:rsidR="7D5F20F3" w:rsidRPr="00A161AC">
        <w:rPr>
          <w:rFonts w:eastAsia="Arial"/>
        </w:rPr>
        <w:t xml:space="preserve"> </w:t>
      </w:r>
      <w:r w:rsidR="2E0CD6E7" w:rsidRPr="00A161AC">
        <w:rPr>
          <w:rFonts w:eastAsia="Arial"/>
        </w:rPr>
        <w:t xml:space="preserve">strategy, </w:t>
      </w:r>
      <w:r w:rsidR="00D63C94" w:rsidRPr="00A161AC">
        <w:rPr>
          <w:rFonts w:eastAsia="Arial"/>
        </w:rPr>
        <w:t>quality</w:t>
      </w:r>
      <w:r w:rsidR="221D20F9" w:rsidRPr="00A161AC">
        <w:rPr>
          <w:rFonts w:eastAsia="Arial"/>
        </w:rPr>
        <w:t>, people</w:t>
      </w:r>
      <w:r w:rsidR="00D63C94" w:rsidRPr="00A161AC">
        <w:rPr>
          <w:rFonts w:eastAsia="Arial"/>
        </w:rPr>
        <w:t xml:space="preserve">, </w:t>
      </w:r>
      <w:r w:rsidR="03F42920" w:rsidRPr="00A161AC">
        <w:rPr>
          <w:rFonts w:eastAsia="Arial"/>
        </w:rPr>
        <w:t xml:space="preserve">access, </w:t>
      </w:r>
      <w:r w:rsidR="4FCAA51E" w:rsidRPr="00A161AC">
        <w:rPr>
          <w:rFonts w:eastAsia="Arial"/>
        </w:rPr>
        <w:t>productivity and finance</w:t>
      </w:r>
      <w:r w:rsidR="76CB7E4B" w:rsidRPr="00A161AC">
        <w:rPr>
          <w:rFonts w:eastAsia="Arial"/>
        </w:rPr>
        <w:t>.</w:t>
      </w:r>
      <w:r w:rsidR="12B30281" w:rsidRPr="00A161AC">
        <w:rPr>
          <w:rFonts w:eastAsia="Arial"/>
        </w:rPr>
        <w:t xml:space="preserve"> </w:t>
      </w:r>
      <w:r w:rsidR="00D63C94" w:rsidRPr="00A161AC">
        <w:rPr>
          <w:rFonts w:eastAsia="Arial"/>
        </w:rPr>
        <w:t xml:space="preserve">A full list of the proposed criteria </w:t>
      </w:r>
      <w:r w:rsidR="49016050" w:rsidRPr="00A161AC">
        <w:rPr>
          <w:rFonts w:eastAsia="Arial"/>
        </w:rPr>
        <w:t xml:space="preserve">by area </w:t>
      </w:r>
      <w:r w:rsidR="00D63C94" w:rsidRPr="00A161AC">
        <w:rPr>
          <w:rFonts w:eastAsia="Arial"/>
        </w:rPr>
        <w:t xml:space="preserve">can be found in Annex </w:t>
      </w:r>
      <w:r w:rsidR="00741255" w:rsidRPr="00A161AC">
        <w:rPr>
          <w:rFonts w:eastAsia="Arial"/>
        </w:rPr>
        <w:t>B</w:t>
      </w:r>
      <w:r w:rsidR="00D63C94" w:rsidRPr="00A161AC">
        <w:rPr>
          <w:rFonts w:eastAsia="Arial"/>
        </w:rPr>
        <w:t xml:space="preserve">. </w:t>
      </w:r>
      <w:r w:rsidR="00117CAA" w:rsidRPr="00A161AC">
        <w:rPr>
          <w:rFonts w:eastAsia="Arial"/>
        </w:rPr>
        <w:br/>
      </w:r>
    </w:p>
    <w:p w14:paraId="0EFEE1AC" w14:textId="31126C68" w:rsidR="00D63C94" w:rsidRPr="00A161AC" w:rsidRDefault="00D63C94" w:rsidP="005678A6">
      <w:pPr>
        <w:pStyle w:val="Numberedlist"/>
        <w:spacing w:after="0"/>
        <w:ind w:left="714" w:hanging="357"/>
        <w:rPr>
          <w:rFonts w:eastAsia="Arial"/>
        </w:rPr>
      </w:pPr>
      <w:r w:rsidRPr="00A161AC">
        <w:rPr>
          <w:rFonts w:eastAsia="Arial"/>
        </w:rPr>
        <w:t>We will use the</w:t>
      </w:r>
      <w:r w:rsidR="008D7C91" w:rsidRPr="00A161AC">
        <w:rPr>
          <w:rFonts w:eastAsia="Arial"/>
        </w:rPr>
        <w:t xml:space="preserve"> self-</w:t>
      </w:r>
      <w:r w:rsidR="00D763B3" w:rsidRPr="00A161AC">
        <w:rPr>
          <w:rFonts w:eastAsia="Arial"/>
        </w:rPr>
        <w:t>certification</w:t>
      </w:r>
      <w:r w:rsidRPr="00A161AC">
        <w:rPr>
          <w:rFonts w:eastAsia="Arial"/>
        </w:rPr>
        <w:t xml:space="preserve"> both prospectively and retrospectively:</w:t>
      </w:r>
    </w:p>
    <w:p w14:paraId="63242E44" w14:textId="77777777" w:rsidR="00D63C94" w:rsidRPr="00A161AC" w:rsidRDefault="00D63C94" w:rsidP="005678A6">
      <w:pPr>
        <w:pStyle w:val="Numberedlist"/>
        <w:numPr>
          <w:ilvl w:val="4"/>
          <w:numId w:val="2"/>
        </w:numPr>
        <w:spacing w:after="0"/>
        <w:ind w:left="1775" w:hanging="357"/>
        <w:rPr>
          <w:rFonts w:eastAsia="Arial" w:cs="Arial"/>
        </w:rPr>
      </w:pPr>
      <w:r w:rsidRPr="00A161AC">
        <w:rPr>
          <w:rFonts w:eastAsia="Arial" w:cs="Arial"/>
        </w:rPr>
        <w:t>Where providers cannot certify against these requirements, we will seek to understand the reasons why and planned actions to address this; and</w:t>
      </w:r>
    </w:p>
    <w:p w14:paraId="7E0FDC0A" w14:textId="073EC4AB" w:rsidR="00D63C94" w:rsidRPr="00A161AC" w:rsidRDefault="00D63C94" w:rsidP="005678A6">
      <w:pPr>
        <w:pStyle w:val="Numberedlist"/>
        <w:numPr>
          <w:ilvl w:val="4"/>
          <w:numId w:val="2"/>
        </w:numPr>
        <w:spacing w:after="0"/>
        <w:ind w:left="1775" w:hanging="357"/>
        <w:rPr>
          <w:rFonts w:eastAsia="Arial"/>
        </w:rPr>
      </w:pPr>
      <w:r w:rsidRPr="00A161AC">
        <w:rPr>
          <w:rFonts w:eastAsia="Arial"/>
        </w:rPr>
        <w:t>Subsequent delivery (or not) against these will inform our and the relevant ICB’s views of management teams and any support or development needs</w:t>
      </w:r>
      <w:r w:rsidRPr="00A161AC">
        <w:rPr>
          <w:rStyle w:val="FootnoteReference"/>
          <w:rFonts w:eastAsia="Arial"/>
        </w:rPr>
        <w:footnoteReference w:id="8"/>
      </w:r>
      <w:r w:rsidRPr="00A161AC">
        <w:rPr>
          <w:rFonts w:eastAsia="Arial"/>
        </w:rPr>
        <w:t>.</w:t>
      </w:r>
    </w:p>
    <w:p w14:paraId="68B803FE" w14:textId="77777777" w:rsidR="00413638" w:rsidRPr="00A161AC" w:rsidRDefault="00413638" w:rsidP="003A4BB6">
      <w:pPr>
        <w:pStyle w:val="Numberedlist"/>
        <w:numPr>
          <w:ilvl w:val="0"/>
          <w:numId w:val="0"/>
        </w:numPr>
        <w:ind w:left="993" w:hanging="284"/>
        <w:rPr>
          <w:rStyle w:val="eop"/>
          <w:shd w:val="clear" w:color="auto" w:fill="FFFFFF"/>
        </w:rPr>
      </w:pPr>
      <w:r w:rsidRPr="00A161AC">
        <w:rPr>
          <w:rStyle w:val="normaltextrun"/>
          <w:rFonts w:cs="Arial"/>
          <w:shd w:val="clear" w:color="auto" w:fill="FFFFFF"/>
        </w:rPr>
        <w:t>Where issues arise, NHSE and/or the ICB will to follow up with trusts to consider: </w:t>
      </w:r>
      <w:r w:rsidRPr="00A161AC">
        <w:rPr>
          <w:rStyle w:val="eop"/>
          <w:shd w:val="clear" w:color="auto" w:fill="FFFFFF"/>
        </w:rPr>
        <w:t> </w:t>
      </w:r>
    </w:p>
    <w:p w14:paraId="14D2769C" w14:textId="78D6EFBC" w:rsidR="36B5F05C" w:rsidRPr="00A161AC" w:rsidRDefault="36B5F05C" w:rsidP="00AB4B85">
      <w:pPr>
        <w:pStyle w:val="Numberedlist"/>
        <w:numPr>
          <w:ilvl w:val="0"/>
          <w:numId w:val="23"/>
        </w:numPr>
        <w:ind w:left="993" w:hanging="11"/>
        <w:rPr>
          <w:rFonts w:eastAsia="Arial"/>
        </w:rPr>
      </w:pPr>
      <w:r w:rsidRPr="00A161AC">
        <w:rPr>
          <w:rFonts w:eastAsia="Arial"/>
        </w:rPr>
        <w:t xml:space="preserve">the extent to which the </w:t>
      </w:r>
      <w:r w:rsidR="00C63A61" w:rsidRPr="00A161AC">
        <w:rPr>
          <w:rFonts w:eastAsia="Arial"/>
        </w:rPr>
        <w:t>provider</w:t>
      </w:r>
      <w:r w:rsidRPr="00A161AC">
        <w:rPr>
          <w:rFonts w:eastAsia="Arial"/>
        </w:rPr>
        <w:t xml:space="preserve"> was aware of the issue</w:t>
      </w:r>
      <w:r w:rsidR="00C63A61" w:rsidRPr="00A161AC">
        <w:rPr>
          <w:rFonts w:eastAsia="Arial"/>
        </w:rPr>
        <w:t>;</w:t>
      </w:r>
    </w:p>
    <w:p w14:paraId="35374E65" w14:textId="100FDD12" w:rsidR="1E7F517A" w:rsidRPr="00A161AC" w:rsidRDefault="1E7F517A" w:rsidP="00AB4B85">
      <w:pPr>
        <w:pStyle w:val="Numberedlist"/>
        <w:numPr>
          <w:ilvl w:val="0"/>
          <w:numId w:val="23"/>
        </w:numPr>
        <w:ind w:left="993" w:hanging="11"/>
        <w:rPr>
          <w:rFonts w:eastAsia="Arial"/>
        </w:rPr>
      </w:pPr>
      <w:r w:rsidRPr="00A161AC">
        <w:rPr>
          <w:rFonts w:eastAsia="Arial"/>
        </w:rPr>
        <w:t>t</w:t>
      </w:r>
      <w:r w:rsidR="36B5F05C" w:rsidRPr="00A161AC">
        <w:rPr>
          <w:rFonts w:eastAsia="Arial"/>
        </w:rPr>
        <w:t>he robustness of plans to address it and managem</w:t>
      </w:r>
      <w:r w:rsidR="311DB6C0" w:rsidRPr="00A161AC">
        <w:rPr>
          <w:rFonts w:eastAsia="Arial"/>
        </w:rPr>
        <w:t>e</w:t>
      </w:r>
      <w:r w:rsidR="36B5F05C" w:rsidRPr="00A161AC">
        <w:rPr>
          <w:rFonts w:eastAsia="Arial"/>
        </w:rPr>
        <w:t>nt’s ability to do so</w:t>
      </w:r>
      <w:r w:rsidR="00C63A61" w:rsidRPr="00A161AC">
        <w:rPr>
          <w:rFonts w:eastAsia="Arial"/>
        </w:rPr>
        <w:t>;</w:t>
      </w:r>
      <w:r w:rsidR="36B5F05C" w:rsidRPr="00A161AC">
        <w:rPr>
          <w:rFonts w:eastAsia="Arial"/>
        </w:rPr>
        <w:t xml:space="preserve"> and </w:t>
      </w:r>
    </w:p>
    <w:p w14:paraId="30B5719D" w14:textId="0F7CE755" w:rsidR="24D3ACAD" w:rsidRPr="00A161AC" w:rsidRDefault="24D3ACAD" w:rsidP="00AB4B85">
      <w:pPr>
        <w:pStyle w:val="Numberedlist"/>
        <w:numPr>
          <w:ilvl w:val="0"/>
          <w:numId w:val="23"/>
        </w:numPr>
        <w:ind w:left="993" w:hanging="11"/>
        <w:rPr>
          <w:rFonts w:eastAsia="Arial"/>
        </w:rPr>
      </w:pPr>
      <w:r w:rsidRPr="00A161AC">
        <w:rPr>
          <w:rFonts w:eastAsia="Arial"/>
        </w:rPr>
        <w:t>t</w:t>
      </w:r>
      <w:r w:rsidR="36B5F05C" w:rsidRPr="00A161AC">
        <w:rPr>
          <w:rFonts w:eastAsia="Arial"/>
        </w:rPr>
        <w:t xml:space="preserve">he </w:t>
      </w:r>
      <w:r w:rsidR="7BE3F1EE" w:rsidRPr="00A161AC">
        <w:rPr>
          <w:rFonts w:eastAsia="Arial"/>
        </w:rPr>
        <w:t xml:space="preserve">subsequent </w:t>
      </w:r>
      <w:r w:rsidR="36B5F05C" w:rsidRPr="00A161AC">
        <w:rPr>
          <w:rFonts w:eastAsia="Arial"/>
        </w:rPr>
        <w:t>delivery of plans to address the issue</w:t>
      </w:r>
      <w:r w:rsidR="00C63A61" w:rsidRPr="00A161AC">
        <w:rPr>
          <w:rFonts w:eastAsia="Arial"/>
        </w:rPr>
        <w:t>.</w:t>
      </w:r>
      <w:r w:rsidR="00C63A61" w:rsidRPr="00A161AC">
        <w:rPr>
          <w:rFonts w:eastAsia="Arial"/>
        </w:rPr>
        <w:br/>
      </w:r>
    </w:p>
    <w:p w14:paraId="1EBFA86D" w14:textId="5E44CDBB" w:rsidR="009F231F" w:rsidRPr="00A161AC" w:rsidRDefault="00D63C94" w:rsidP="00060F61">
      <w:pPr>
        <w:pStyle w:val="Numberedlist"/>
        <w:spacing w:after="0"/>
        <w:ind w:left="714" w:hanging="357"/>
        <w:rPr>
          <w:rFonts w:eastAsia="Arial"/>
        </w:rPr>
      </w:pPr>
      <w:r w:rsidRPr="00A161AC">
        <w:rPr>
          <w:rFonts w:eastAsia="Arial"/>
        </w:rPr>
        <w:t>Where circumstances change in-year and a trust can no longer meet its certification</w:t>
      </w:r>
      <w:r w:rsidR="4291DDF3" w:rsidRPr="00A161AC">
        <w:rPr>
          <w:rFonts w:eastAsia="Arial"/>
        </w:rPr>
        <w:t xml:space="preserve"> in its annual plan submission</w:t>
      </w:r>
      <w:r w:rsidRPr="00A161AC">
        <w:rPr>
          <w:rFonts w:eastAsia="Arial"/>
        </w:rPr>
        <w:t xml:space="preserve">, </w:t>
      </w:r>
      <w:r w:rsidR="00C63A61" w:rsidRPr="00A161AC">
        <w:rPr>
          <w:rFonts w:eastAsia="Arial"/>
        </w:rPr>
        <w:t>B</w:t>
      </w:r>
      <w:r w:rsidRPr="00A161AC">
        <w:rPr>
          <w:rFonts w:eastAsia="Arial"/>
        </w:rPr>
        <w:t>oards will by exception be expected to inform both us and their ICB</w:t>
      </w:r>
      <w:r w:rsidR="004A1D00" w:rsidRPr="00A161AC">
        <w:rPr>
          <w:rFonts w:eastAsia="Arial"/>
        </w:rPr>
        <w:t>.</w:t>
      </w:r>
    </w:p>
    <w:p w14:paraId="323D0EFE" w14:textId="3D5E316B" w:rsidR="795F8548" w:rsidRPr="00A161AC" w:rsidRDefault="795F8548" w:rsidP="00060F61">
      <w:pPr>
        <w:pStyle w:val="Numberedlist"/>
        <w:numPr>
          <w:ilvl w:val="0"/>
          <w:numId w:val="0"/>
        </w:numPr>
        <w:spacing w:after="0"/>
        <w:ind w:left="714" w:hanging="357"/>
        <w:rPr>
          <w:rFonts w:eastAsia="Arial"/>
        </w:rPr>
      </w:pPr>
    </w:p>
    <w:p w14:paraId="1A7E0DC7" w14:textId="1002CE52" w:rsidR="3585139F" w:rsidRPr="00A161AC" w:rsidRDefault="3585139F" w:rsidP="00060F61">
      <w:pPr>
        <w:pStyle w:val="Numberedlist"/>
        <w:spacing w:after="0"/>
        <w:ind w:left="714" w:hanging="357"/>
        <w:rPr>
          <w:rFonts w:eastAsia="Arial"/>
        </w:rPr>
      </w:pPr>
      <w:r w:rsidRPr="00A161AC">
        <w:rPr>
          <w:rFonts w:eastAsia="Arial"/>
        </w:rPr>
        <w:t>We will use the</w:t>
      </w:r>
      <w:r w:rsidR="5526F401" w:rsidRPr="00A161AC">
        <w:rPr>
          <w:rFonts w:eastAsia="Arial"/>
        </w:rPr>
        <w:t xml:space="preserve"> </w:t>
      </w:r>
      <w:r w:rsidR="00F1291E" w:rsidRPr="00A161AC">
        <w:rPr>
          <w:rFonts w:eastAsia="Arial"/>
        </w:rPr>
        <w:t xml:space="preserve">information </w:t>
      </w:r>
      <w:r w:rsidR="5526F401" w:rsidRPr="00A161AC">
        <w:rPr>
          <w:rFonts w:eastAsia="Arial"/>
        </w:rPr>
        <w:t xml:space="preserve">above </w:t>
      </w:r>
      <w:r w:rsidR="00F1291E" w:rsidRPr="00A161AC">
        <w:rPr>
          <w:rFonts w:eastAsia="Arial"/>
        </w:rPr>
        <w:t xml:space="preserve">to inform our </w:t>
      </w:r>
      <w:r w:rsidR="00054D7D" w:rsidRPr="00A161AC">
        <w:rPr>
          <w:rFonts w:eastAsia="Arial"/>
        </w:rPr>
        <w:t>final decision</w:t>
      </w:r>
      <w:r w:rsidR="5526F401" w:rsidRPr="00A161AC">
        <w:rPr>
          <w:rFonts w:eastAsia="Arial"/>
        </w:rPr>
        <w:t xml:space="preserve"> of a provider’s segment</w:t>
      </w:r>
      <w:r w:rsidR="00F1291E" w:rsidRPr="00A161AC">
        <w:rPr>
          <w:rFonts w:eastAsia="Arial"/>
        </w:rPr>
        <w:t xml:space="preserve"> and associated support</w:t>
      </w:r>
      <w:r w:rsidR="00467742" w:rsidRPr="00A161AC">
        <w:rPr>
          <w:rFonts w:eastAsia="Arial"/>
        </w:rPr>
        <w:t xml:space="preserve"> or intervention</w:t>
      </w:r>
      <w:r w:rsidR="00F1291E" w:rsidRPr="00A161AC">
        <w:rPr>
          <w:rFonts w:eastAsia="Arial"/>
        </w:rPr>
        <w:t xml:space="preserve"> needs</w:t>
      </w:r>
      <w:r w:rsidR="00054D7D" w:rsidRPr="00A161AC">
        <w:rPr>
          <w:rFonts w:eastAsia="Arial"/>
        </w:rPr>
        <w:t>.</w:t>
      </w:r>
      <w:r w:rsidR="00984DFF" w:rsidRPr="00A161AC">
        <w:rPr>
          <w:rFonts w:eastAsia="Arial"/>
        </w:rPr>
        <w:t xml:space="preserve"> For example</w:t>
      </w:r>
      <w:r w:rsidR="00467742" w:rsidRPr="00A161AC">
        <w:rPr>
          <w:rFonts w:eastAsia="Arial"/>
        </w:rPr>
        <w:t>,</w:t>
      </w:r>
      <w:r w:rsidR="00984DFF" w:rsidRPr="00A161AC">
        <w:rPr>
          <w:rFonts w:eastAsia="Arial"/>
        </w:rPr>
        <w:t xml:space="preserve"> where</w:t>
      </w:r>
      <w:r w:rsidR="00467742" w:rsidRPr="00A161AC">
        <w:rPr>
          <w:rFonts w:eastAsia="Arial"/>
        </w:rPr>
        <w:t xml:space="preserve"> a</w:t>
      </w:r>
      <w:r w:rsidR="00984DFF" w:rsidRPr="00A161AC">
        <w:rPr>
          <w:rFonts w:eastAsia="Arial"/>
        </w:rPr>
        <w:t xml:space="preserve"> provider show</w:t>
      </w:r>
      <w:r w:rsidR="00467742" w:rsidRPr="00A161AC">
        <w:rPr>
          <w:rFonts w:eastAsia="Arial"/>
        </w:rPr>
        <w:t>s</w:t>
      </w:r>
      <w:r w:rsidR="00984DFF" w:rsidRPr="00A161AC">
        <w:rPr>
          <w:rFonts w:eastAsia="Arial"/>
        </w:rPr>
        <w:t xml:space="preserve"> strong capability through </w:t>
      </w:r>
      <w:r w:rsidR="00413638" w:rsidRPr="00A161AC">
        <w:rPr>
          <w:rFonts w:eastAsia="Arial"/>
        </w:rPr>
        <w:t>its</w:t>
      </w:r>
      <w:r w:rsidR="00984DFF" w:rsidRPr="00A161AC">
        <w:rPr>
          <w:rFonts w:eastAsia="Arial"/>
        </w:rPr>
        <w:t xml:space="preserve"> CQC </w:t>
      </w:r>
      <w:r w:rsidR="00467742" w:rsidRPr="00A161AC">
        <w:rPr>
          <w:rFonts w:eastAsia="Arial"/>
        </w:rPr>
        <w:t>well-led</w:t>
      </w:r>
      <w:r w:rsidR="00413638" w:rsidRPr="00A161AC">
        <w:rPr>
          <w:rFonts w:eastAsia="Arial"/>
        </w:rPr>
        <w:t xml:space="preserve"> rating</w:t>
      </w:r>
      <w:r w:rsidR="00984DFF" w:rsidRPr="00A161AC">
        <w:rPr>
          <w:rFonts w:eastAsia="Arial"/>
        </w:rPr>
        <w:t xml:space="preserve">, </w:t>
      </w:r>
      <w:r w:rsidR="00467742" w:rsidRPr="00A161AC">
        <w:rPr>
          <w:rFonts w:eastAsia="Arial"/>
        </w:rPr>
        <w:t>self-certification</w:t>
      </w:r>
      <w:r w:rsidR="00984DFF" w:rsidRPr="00A161AC">
        <w:rPr>
          <w:rFonts w:eastAsia="Arial"/>
        </w:rPr>
        <w:t xml:space="preserve"> and </w:t>
      </w:r>
      <w:r w:rsidR="00467742" w:rsidRPr="00A161AC">
        <w:rPr>
          <w:rFonts w:eastAsia="Arial"/>
        </w:rPr>
        <w:t>track record,</w:t>
      </w:r>
      <w:r w:rsidR="00984DFF" w:rsidRPr="00A161AC">
        <w:rPr>
          <w:rFonts w:eastAsia="Arial"/>
        </w:rPr>
        <w:t xml:space="preserve"> this</w:t>
      </w:r>
      <w:r w:rsidR="009060CE" w:rsidRPr="00A161AC">
        <w:rPr>
          <w:rFonts w:eastAsia="Arial"/>
        </w:rPr>
        <w:t xml:space="preserve"> may </w:t>
      </w:r>
      <w:r w:rsidR="00467742" w:rsidRPr="00A161AC">
        <w:rPr>
          <w:rFonts w:eastAsia="Arial"/>
        </w:rPr>
        <w:t>uprate</w:t>
      </w:r>
      <w:r w:rsidR="009060CE" w:rsidRPr="00A161AC">
        <w:rPr>
          <w:rFonts w:eastAsia="Arial"/>
        </w:rPr>
        <w:t xml:space="preserve"> the segment </w:t>
      </w:r>
      <w:r w:rsidR="00D17117" w:rsidRPr="00A161AC">
        <w:rPr>
          <w:rFonts w:eastAsia="Arial"/>
        </w:rPr>
        <w:t>given the evidence supporting the</w:t>
      </w:r>
      <w:r w:rsidR="00467742" w:rsidRPr="00A161AC">
        <w:rPr>
          <w:rFonts w:eastAsia="Arial"/>
        </w:rPr>
        <w:t xml:space="preserve"> provider’s</w:t>
      </w:r>
      <w:r w:rsidR="00D17117" w:rsidRPr="00A161AC">
        <w:rPr>
          <w:rFonts w:eastAsia="Arial"/>
        </w:rPr>
        <w:t xml:space="preserve"> ability to address concerns.  Conversely</w:t>
      </w:r>
      <w:r w:rsidR="00467742" w:rsidRPr="00A161AC">
        <w:rPr>
          <w:rFonts w:eastAsia="Arial"/>
        </w:rPr>
        <w:t>,</w:t>
      </w:r>
      <w:r w:rsidR="00D17117" w:rsidRPr="00A161AC">
        <w:rPr>
          <w:rFonts w:eastAsia="Arial"/>
        </w:rPr>
        <w:t xml:space="preserve"> reduced capability evidenced through this</w:t>
      </w:r>
      <w:r w:rsidR="00467742" w:rsidRPr="00A161AC">
        <w:rPr>
          <w:rFonts w:eastAsia="Arial"/>
        </w:rPr>
        <w:t xml:space="preserve"> process</w:t>
      </w:r>
      <w:r w:rsidR="00D17117" w:rsidRPr="00A161AC">
        <w:rPr>
          <w:rFonts w:eastAsia="Arial"/>
        </w:rPr>
        <w:t xml:space="preserve"> could </w:t>
      </w:r>
      <w:r w:rsidR="00467742" w:rsidRPr="00A161AC">
        <w:rPr>
          <w:rFonts w:eastAsia="Arial"/>
        </w:rPr>
        <w:t>downrate</w:t>
      </w:r>
      <w:r w:rsidR="00D17117" w:rsidRPr="00A161AC">
        <w:rPr>
          <w:rFonts w:eastAsia="Arial"/>
        </w:rPr>
        <w:t xml:space="preserve"> the segment indicating the need for support </w:t>
      </w:r>
      <w:r w:rsidR="00467742" w:rsidRPr="00A161AC">
        <w:rPr>
          <w:rFonts w:eastAsia="Arial"/>
        </w:rPr>
        <w:t xml:space="preserve">or intervention </w:t>
      </w:r>
      <w:r w:rsidR="00D17117" w:rsidRPr="00A161AC">
        <w:rPr>
          <w:rFonts w:eastAsia="Arial"/>
        </w:rPr>
        <w:t xml:space="preserve">to address the challenges. </w:t>
      </w:r>
    </w:p>
    <w:p w14:paraId="0D079DFF" w14:textId="63175A45" w:rsidR="00EC0499" w:rsidRPr="00A161AC" w:rsidRDefault="008F2A75" w:rsidP="0074347A">
      <w:pPr>
        <w:pStyle w:val="Heading2"/>
        <w:rPr>
          <w:rFonts w:eastAsia="MS Mincho" w:hint="eastAsia"/>
        </w:rPr>
      </w:pPr>
      <w:r w:rsidRPr="00A161AC">
        <w:rPr>
          <w:rFonts w:eastAsia="Arial"/>
        </w:rPr>
        <w:br w:type="page"/>
      </w:r>
      <w:bookmarkStart w:id="26" w:name="_Toc160636216"/>
    </w:p>
    <w:p w14:paraId="640CF6F3" w14:textId="3493AB4F" w:rsidR="00EC0499" w:rsidRPr="00A161AC" w:rsidRDefault="00EC0499" w:rsidP="008D046F">
      <w:pPr>
        <w:rPr>
          <w:rFonts w:eastAsia="MS Mincho"/>
          <w:b/>
        </w:rPr>
      </w:pPr>
    </w:p>
    <w:p w14:paraId="1B770DD0" w14:textId="4AF00260" w:rsidR="00884B23" w:rsidRPr="00A161AC" w:rsidRDefault="00884B23" w:rsidP="00884B23">
      <w:pPr>
        <w:pStyle w:val="Heading2"/>
        <w:spacing w:line="259" w:lineRule="auto"/>
        <w:rPr>
          <w:rFonts w:eastAsia="MS Mincho" w:hint="eastAsia"/>
        </w:rPr>
      </w:pPr>
      <w:bookmarkStart w:id="27" w:name="_Toc163574931"/>
      <w:r w:rsidRPr="00A161AC">
        <w:rPr>
          <w:rFonts w:eastAsia="MS Mincho"/>
        </w:rPr>
        <w:t xml:space="preserve">Annex </w:t>
      </w:r>
      <w:r w:rsidR="00741255" w:rsidRPr="00A161AC">
        <w:rPr>
          <w:rFonts w:eastAsia="MS Mincho"/>
        </w:rPr>
        <w:t>A</w:t>
      </w:r>
      <w:r w:rsidRPr="00A161AC">
        <w:rPr>
          <w:rFonts w:eastAsia="MS Mincho"/>
        </w:rPr>
        <w:t>:</w:t>
      </w:r>
      <w:r w:rsidR="002265AF" w:rsidRPr="00A161AC">
        <w:rPr>
          <w:rFonts w:eastAsia="MS Mincho"/>
        </w:rPr>
        <w:t xml:space="preserve"> </w:t>
      </w:r>
      <w:r w:rsidRPr="00A161AC">
        <w:rPr>
          <w:rFonts w:eastAsia="MS Mincho"/>
        </w:rPr>
        <w:t>ICB functional areas and supporting activities</w:t>
      </w:r>
      <w:bookmarkEnd w:id="26"/>
      <w:bookmarkEnd w:id="27"/>
    </w:p>
    <w:p w14:paraId="4159A1A1" w14:textId="0D1CAC80" w:rsidR="00884B23" w:rsidRPr="00A161AC" w:rsidRDefault="00884B23" w:rsidP="00884B23">
      <w:pPr>
        <w:rPr>
          <w:rFonts w:eastAsia="MS Mincho"/>
          <w:color w:val="FF0000"/>
        </w:rPr>
      </w:pPr>
      <w:r w:rsidRPr="00A161AC">
        <w:rPr>
          <w:rFonts w:eastAsia="MS Mincho"/>
          <w:color w:val="auto"/>
        </w:rPr>
        <w:t xml:space="preserve">The ICB capability assessment will </w:t>
      </w:r>
      <w:r w:rsidR="00215B4F" w:rsidRPr="00A161AC">
        <w:rPr>
          <w:rFonts w:eastAsia="MS Mincho"/>
          <w:color w:val="auto"/>
        </w:rPr>
        <w:t>include undertaking</w:t>
      </w:r>
      <w:r w:rsidRPr="00A161AC">
        <w:rPr>
          <w:rFonts w:eastAsia="MS Mincho"/>
          <w:color w:val="auto"/>
        </w:rPr>
        <w:t xml:space="preserve"> an assessment of how well an ICB </w:t>
      </w:r>
      <w:r w:rsidR="00215B4F" w:rsidRPr="00A161AC">
        <w:rPr>
          <w:rFonts w:eastAsia="MS Mincho"/>
          <w:color w:val="auto"/>
        </w:rPr>
        <w:t xml:space="preserve">has performed and </w:t>
      </w:r>
      <w:r w:rsidRPr="00A161AC">
        <w:rPr>
          <w:rFonts w:eastAsia="MS Mincho"/>
          <w:color w:val="auto"/>
        </w:rPr>
        <w:t>is performing i</w:t>
      </w:r>
      <w:r w:rsidR="00215B4F" w:rsidRPr="00A161AC">
        <w:rPr>
          <w:rFonts w:eastAsia="MS Mincho"/>
          <w:color w:val="auto"/>
        </w:rPr>
        <w:t>t</w:t>
      </w:r>
      <w:r w:rsidRPr="00A161AC">
        <w:rPr>
          <w:rFonts w:eastAsia="MS Mincho"/>
          <w:color w:val="auto"/>
        </w:rPr>
        <w:t xml:space="preserve">s statutory functions, by looking at the supporting activities in each of the six functional areas outlined in the table below. For each activity NHS England will assess how an ICB is performing the statutory functions involved in carrying out that activity, including an assessment of the discharge of relevant specific duties. </w:t>
      </w:r>
      <w:r w:rsidRPr="00A161AC">
        <w:rPr>
          <w:color w:val="FFFFFF" w:themeColor="text1"/>
          <w:sz w:val="20"/>
          <w:szCs w:val="20"/>
        </w:rPr>
        <w:t xml:space="preserve"> Functional</w:t>
      </w:r>
    </w:p>
    <w:tbl>
      <w:tblPr>
        <w:tblStyle w:val="NHSTableDarkBlue"/>
        <w:tblW w:w="10065" w:type="dxa"/>
        <w:tblLook w:val="01E0" w:firstRow="1" w:lastRow="1" w:firstColumn="1" w:lastColumn="1" w:noHBand="0" w:noVBand="0"/>
      </w:tblPr>
      <w:tblGrid>
        <w:gridCol w:w="1845"/>
        <w:gridCol w:w="1699"/>
        <w:gridCol w:w="6521"/>
      </w:tblGrid>
      <w:tr w:rsidR="00884B23" w:rsidRPr="00A161AC" w14:paraId="4D512418" w14:textId="77777777" w:rsidTr="08D3162F">
        <w:trPr>
          <w:cnfStyle w:val="100000000000" w:firstRow="1" w:lastRow="0" w:firstColumn="0" w:lastColumn="0" w:oddVBand="0" w:evenVBand="0" w:oddHBand="0" w:evenHBand="0" w:firstRowFirstColumn="0" w:firstRowLastColumn="0" w:lastRowFirstColumn="0" w:lastRowLastColumn="0"/>
          <w:trHeight w:val="645"/>
        </w:trPr>
        <w:tc>
          <w:tcPr>
            <w:tcW w:w="1845" w:type="dxa"/>
          </w:tcPr>
          <w:p w14:paraId="269A78C1" w14:textId="77777777" w:rsidR="00884B23" w:rsidRPr="00A161AC" w:rsidRDefault="00884B23" w:rsidP="00FC33C8">
            <w:pPr>
              <w:rPr>
                <w:color w:val="FFFFFF" w:themeColor="text1"/>
                <w:sz w:val="20"/>
                <w:szCs w:val="20"/>
              </w:rPr>
            </w:pPr>
            <w:r w:rsidRPr="00A161AC">
              <w:rPr>
                <w:color w:val="FFFFFF" w:themeColor="text1"/>
                <w:sz w:val="20"/>
                <w:szCs w:val="20"/>
              </w:rPr>
              <w:t xml:space="preserve">Functional area </w:t>
            </w:r>
          </w:p>
        </w:tc>
        <w:tc>
          <w:tcPr>
            <w:tcW w:w="1699" w:type="dxa"/>
          </w:tcPr>
          <w:p w14:paraId="0F1740BC" w14:textId="77777777" w:rsidR="00884B23" w:rsidRPr="00A161AC" w:rsidRDefault="00884B23" w:rsidP="00FC33C8">
            <w:pPr>
              <w:rPr>
                <w:color w:val="FFFFFF" w:themeColor="text1"/>
                <w:sz w:val="20"/>
                <w:szCs w:val="20"/>
              </w:rPr>
            </w:pPr>
            <w:r w:rsidRPr="00A161AC">
              <w:rPr>
                <w:color w:val="FFFFFF" w:themeColor="text1"/>
                <w:sz w:val="20"/>
                <w:szCs w:val="20"/>
              </w:rPr>
              <w:t>Supporting activity</w:t>
            </w:r>
          </w:p>
        </w:tc>
        <w:tc>
          <w:tcPr>
            <w:tcW w:w="6521" w:type="dxa"/>
          </w:tcPr>
          <w:p w14:paraId="0A1B1DC1" w14:textId="77777777" w:rsidR="00884B23" w:rsidRPr="00A161AC" w:rsidRDefault="00884B23" w:rsidP="00FC33C8">
            <w:pPr>
              <w:rPr>
                <w:color w:val="FFFFFF" w:themeColor="text1"/>
                <w:sz w:val="20"/>
                <w:szCs w:val="20"/>
              </w:rPr>
            </w:pPr>
            <w:r w:rsidRPr="00A161AC">
              <w:rPr>
                <w:color w:val="FFFFFF" w:themeColor="text1"/>
                <w:sz w:val="20"/>
                <w:szCs w:val="20"/>
              </w:rPr>
              <w:t>Supporting activity description</w:t>
            </w:r>
          </w:p>
        </w:tc>
      </w:tr>
      <w:tr w:rsidR="00884B23" w:rsidRPr="00A161AC" w14:paraId="7C4DDC57" w14:textId="77777777" w:rsidTr="0057375A">
        <w:trPr>
          <w:cnfStyle w:val="000000100000" w:firstRow="0" w:lastRow="0" w:firstColumn="0" w:lastColumn="0" w:oddVBand="0" w:evenVBand="0" w:oddHBand="1" w:evenHBand="0" w:firstRowFirstColumn="0" w:firstRowLastColumn="0" w:lastRowFirstColumn="0" w:lastRowLastColumn="0"/>
          <w:trHeight w:val="2745"/>
        </w:trPr>
        <w:tc>
          <w:tcPr>
            <w:tcW w:w="1845" w:type="dxa"/>
            <w:vMerge w:val="restart"/>
          </w:tcPr>
          <w:p w14:paraId="3CE2824A" w14:textId="77777777" w:rsidR="00884B23" w:rsidRPr="00A161AC" w:rsidRDefault="00884B23" w:rsidP="00FC33C8">
            <w:pPr>
              <w:rPr>
                <w:b/>
                <w:sz w:val="20"/>
                <w:szCs w:val="20"/>
              </w:rPr>
            </w:pPr>
            <w:r w:rsidRPr="00A161AC">
              <w:rPr>
                <w:b/>
                <w:sz w:val="20"/>
                <w:szCs w:val="20"/>
              </w:rPr>
              <w:t>A – Strategy and Planning</w:t>
            </w:r>
          </w:p>
        </w:tc>
        <w:tc>
          <w:tcPr>
            <w:tcW w:w="1699" w:type="dxa"/>
          </w:tcPr>
          <w:p w14:paraId="58AD14FE" w14:textId="77777777" w:rsidR="00884B23" w:rsidRPr="00A161AC" w:rsidRDefault="00884B23" w:rsidP="00FC33C8">
            <w:pPr>
              <w:rPr>
                <w:b/>
                <w:sz w:val="20"/>
                <w:szCs w:val="20"/>
              </w:rPr>
            </w:pPr>
            <w:r w:rsidRPr="00A161AC">
              <w:rPr>
                <w:b/>
                <w:sz w:val="20"/>
                <w:szCs w:val="20"/>
              </w:rPr>
              <w:t>Assessing need</w:t>
            </w:r>
          </w:p>
          <w:p w14:paraId="030B3263" w14:textId="77777777" w:rsidR="00884B23" w:rsidRPr="00A161AC" w:rsidRDefault="00884B23" w:rsidP="00FC33C8">
            <w:pPr>
              <w:rPr>
                <w:b/>
                <w:sz w:val="20"/>
                <w:szCs w:val="20"/>
              </w:rPr>
            </w:pPr>
          </w:p>
        </w:tc>
        <w:tc>
          <w:tcPr>
            <w:tcW w:w="6521" w:type="dxa"/>
          </w:tcPr>
          <w:p w14:paraId="5F98B8D5" w14:textId="77777777" w:rsidR="00884B23" w:rsidRPr="00A161AC" w:rsidRDefault="00884B23" w:rsidP="00FC33C8">
            <w:pPr>
              <w:rPr>
                <w:sz w:val="20"/>
                <w:szCs w:val="20"/>
              </w:rPr>
            </w:pPr>
            <w:r w:rsidRPr="00A161AC">
              <w:rPr>
                <w:sz w:val="20"/>
                <w:szCs w:val="20"/>
              </w:rPr>
              <w:t>Intelligence and analytical capabilities and infrastructure will be developed to generate insight into current and future population health needs. This insight is used to ensure that strategies and plans are targeting the areas that will make the biggest difference to improving outcomes and reducing inequalities. </w:t>
            </w:r>
          </w:p>
          <w:p w14:paraId="00F7BE6B" w14:textId="096004B7" w:rsidR="00884B23" w:rsidRPr="00A161AC" w:rsidRDefault="00884B23" w:rsidP="00FC33C8">
            <w:pPr>
              <w:spacing w:after="0"/>
              <w:rPr>
                <w:sz w:val="20"/>
                <w:szCs w:val="20"/>
              </w:rPr>
            </w:pPr>
            <w:r w:rsidRPr="00A161AC">
              <w:rPr>
                <w:b/>
                <w:bCs/>
                <w:sz w:val="20"/>
                <w:szCs w:val="20"/>
              </w:rPr>
              <w:t xml:space="preserve"> Including an assessment of how the following relevant duties have been discharged</w:t>
            </w:r>
            <w:r w:rsidR="00EF021E" w:rsidRPr="00A161AC">
              <w:rPr>
                <w:b/>
                <w:bCs/>
                <w:sz w:val="20"/>
                <w:szCs w:val="20"/>
              </w:rPr>
              <w:t>:</w:t>
            </w:r>
          </w:p>
          <w:p w14:paraId="3B50BCBA" w14:textId="0B3120DA" w:rsidR="00884B23" w:rsidRPr="00A161AC" w:rsidRDefault="00884B23" w:rsidP="00AB4B85">
            <w:pPr>
              <w:numPr>
                <w:ilvl w:val="0"/>
                <w:numId w:val="7"/>
              </w:numPr>
              <w:spacing w:after="0"/>
              <w:rPr>
                <w:sz w:val="20"/>
                <w:szCs w:val="20"/>
              </w:rPr>
            </w:pPr>
            <w:r w:rsidRPr="00A161AC">
              <w:rPr>
                <w:b/>
                <w:bCs/>
                <w:sz w:val="20"/>
                <w:szCs w:val="20"/>
              </w:rPr>
              <w:t xml:space="preserve">Duty </w:t>
            </w:r>
            <w:r w:rsidR="00D62C0A" w:rsidRPr="00A161AC">
              <w:rPr>
                <w:b/>
                <w:bCs/>
                <w:sz w:val="20"/>
                <w:szCs w:val="20"/>
              </w:rPr>
              <w:t xml:space="preserve">as </w:t>
            </w:r>
            <w:r w:rsidRPr="00A161AC">
              <w:rPr>
                <w:b/>
                <w:bCs/>
                <w:sz w:val="20"/>
                <w:szCs w:val="20"/>
              </w:rPr>
              <w:t>to reduc</w:t>
            </w:r>
            <w:r w:rsidR="00D62C0A" w:rsidRPr="00A161AC">
              <w:rPr>
                <w:b/>
                <w:bCs/>
                <w:sz w:val="20"/>
                <w:szCs w:val="20"/>
              </w:rPr>
              <w:t>ing</w:t>
            </w:r>
            <w:r w:rsidRPr="00A161AC">
              <w:rPr>
                <w:b/>
                <w:bCs/>
                <w:sz w:val="20"/>
                <w:szCs w:val="20"/>
              </w:rPr>
              <w:t xml:space="preserve"> inequality of access and outcomes</w:t>
            </w:r>
          </w:p>
          <w:p w14:paraId="23650BB5" w14:textId="77777777" w:rsidR="00884B23" w:rsidRPr="00A161AC" w:rsidRDefault="00884B23" w:rsidP="00AB4B85">
            <w:pPr>
              <w:numPr>
                <w:ilvl w:val="0"/>
                <w:numId w:val="7"/>
              </w:numPr>
              <w:spacing w:after="0"/>
              <w:rPr>
                <w:sz w:val="20"/>
                <w:szCs w:val="20"/>
              </w:rPr>
            </w:pPr>
            <w:r w:rsidRPr="00A161AC">
              <w:rPr>
                <w:b/>
                <w:bCs/>
                <w:sz w:val="20"/>
                <w:szCs w:val="20"/>
              </w:rPr>
              <w:t>Duty to address the particular needs of victims of abuse</w:t>
            </w:r>
          </w:p>
          <w:p w14:paraId="767EDF6A" w14:textId="7C63D727" w:rsidR="00884B23" w:rsidRPr="00A161AC" w:rsidRDefault="00884B23" w:rsidP="00AB4B85">
            <w:pPr>
              <w:numPr>
                <w:ilvl w:val="0"/>
                <w:numId w:val="7"/>
              </w:numPr>
              <w:spacing w:after="0"/>
              <w:rPr>
                <w:sz w:val="20"/>
                <w:szCs w:val="20"/>
              </w:rPr>
            </w:pPr>
            <w:r w:rsidRPr="00A161AC">
              <w:rPr>
                <w:b/>
                <w:bCs/>
                <w:sz w:val="20"/>
                <w:szCs w:val="20"/>
              </w:rPr>
              <w:t>Duty to address the particular needs of children and young persons</w:t>
            </w:r>
            <w:r w:rsidR="0057375A" w:rsidRPr="00A161AC">
              <w:rPr>
                <w:b/>
                <w:bCs/>
                <w:sz w:val="20"/>
                <w:szCs w:val="20"/>
              </w:rPr>
              <w:t>.</w:t>
            </w:r>
          </w:p>
        </w:tc>
      </w:tr>
      <w:tr w:rsidR="00884B23" w:rsidRPr="00A161AC" w14:paraId="4D6EF374" w14:textId="77777777" w:rsidTr="0057375A">
        <w:trPr>
          <w:trHeight w:val="2010"/>
        </w:trPr>
        <w:tc>
          <w:tcPr>
            <w:tcW w:w="1845" w:type="dxa"/>
            <w:vMerge/>
          </w:tcPr>
          <w:p w14:paraId="520AF91B" w14:textId="77777777" w:rsidR="00884B23" w:rsidRPr="00A161AC" w:rsidRDefault="00884B23" w:rsidP="00FC33C8">
            <w:pPr>
              <w:rPr>
                <w:b/>
                <w:sz w:val="20"/>
                <w:szCs w:val="20"/>
              </w:rPr>
            </w:pPr>
          </w:p>
        </w:tc>
        <w:tc>
          <w:tcPr>
            <w:tcW w:w="1699" w:type="dxa"/>
          </w:tcPr>
          <w:p w14:paraId="0A035242" w14:textId="77777777" w:rsidR="00884B23" w:rsidRPr="00A161AC" w:rsidRDefault="00884B23" w:rsidP="00FC33C8">
            <w:pPr>
              <w:rPr>
                <w:b/>
                <w:sz w:val="20"/>
                <w:szCs w:val="20"/>
              </w:rPr>
            </w:pPr>
            <w:r w:rsidRPr="00A161AC">
              <w:rPr>
                <w:b/>
                <w:sz w:val="20"/>
                <w:szCs w:val="20"/>
              </w:rPr>
              <w:t xml:space="preserve">Strategy </w:t>
            </w:r>
          </w:p>
        </w:tc>
        <w:tc>
          <w:tcPr>
            <w:tcW w:w="6521" w:type="dxa"/>
          </w:tcPr>
          <w:p w14:paraId="3C777276" w14:textId="77777777" w:rsidR="00884B23" w:rsidRPr="00A161AC" w:rsidRDefault="00884B23" w:rsidP="00FC33C8">
            <w:pPr>
              <w:spacing w:after="0"/>
              <w:rPr>
                <w:sz w:val="20"/>
                <w:szCs w:val="20"/>
              </w:rPr>
            </w:pPr>
            <w:r w:rsidRPr="00A161AC">
              <w:rPr>
                <w:sz w:val="20"/>
                <w:szCs w:val="20"/>
              </w:rPr>
              <w:t xml:space="preserve">An Integrated Care Strategy that has been agreed with ICBs, local authorities and other partners in the Integrated Care Partnership. The strategy considers the assessed need of the population, confirms the shared priorities between partners and sets out how the wider partnership will align its actions to meet the needs of its population and reduce inequalities. The ICS Strategy and Health and Wellbeing Strategies will be used by ICB and partner NHS Trusts and Foundation Trusts to inform planning. </w:t>
            </w:r>
          </w:p>
        </w:tc>
      </w:tr>
      <w:tr w:rsidR="00884B23" w:rsidRPr="00A161AC" w14:paraId="6041213F" w14:textId="77777777" w:rsidTr="0057375A">
        <w:trPr>
          <w:cnfStyle w:val="000000100000" w:firstRow="0" w:lastRow="0" w:firstColumn="0" w:lastColumn="0" w:oddVBand="0" w:evenVBand="0" w:oddHBand="1" w:evenHBand="0" w:firstRowFirstColumn="0" w:firstRowLastColumn="0" w:lastRowFirstColumn="0" w:lastRowLastColumn="0"/>
          <w:trHeight w:val="3870"/>
        </w:trPr>
        <w:tc>
          <w:tcPr>
            <w:tcW w:w="1845" w:type="dxa"/>
            <w:vMerge/>
          </w:tcPr>
          <w:p w14:paraId="347E9A22" w14:textId="77777777" w:rsidR="00884B23" w:rsidRPr="00A161AC" w:rsidRDefault="00884B23" w:rsidP="00FC33C8">
            <w:pPr>
              <w:rPr>
                <w:b/>
                <w:sz w:val="20"/>
                <w:szCs w:val="20"/>
              </w:rPr>
            </w:pPr>
          </w:p>
        </w:tc>
        <w:tc>
          <w:tcPr>
            <w:tcW w:w="1699" w:type="dxa"/>
          </w:tcPr>
          <w:p w14:paraId="77EBE0E4" w14:textId="77777777" w:rsidR="00884B23" w:rsidRPr="00A161AC" w:rsidRDefault="00884B23" w:rsidP="00FC33C8">
            <w:pPr>
              <w:rPr>
                <w:b/>
                <w:sz w:val="20"/>
                <w:szCs w:val="20"/>
              </w:rPr>
            </w:pPr>
            <w:r w:rsidRPr="00A161AC">
              <w:rPr>
                <w:b/>
                <w:sz w:val="20"/>
                <w:szCs w:val="20"/>
              </w:rPr>
              <w:t>Planning</w:t>
            </w:r>
          </w:p>
        </w:tc>
        <w:tc>
          <w:tcPr>
            <w:tcW w:w="6521" w:type="dxa"/>
          </w:tcPr>
          <w:p w14:paraId="2F1F832A" w14:textId="2C8456ED" w:rsidR="00884B23" w:rsidRPr="00A161AC" w:rsidRDefault="00884B23" w:rsidP="00FC33C8">
            <w:pPr>
              <w:rPr>
                <w:sz w:val="20"/>
                <w:szCs w:val="20"/>
              </w:rPr>
            </w:pPr>
            <w:r w:rsidRPr="00A161AC">
              <w:rPr>
                <w:sz w:val="20"/>
                <w:szCs w:val="20"/>
              </w:rPr>
              <w:t xml:space="preserve">A five-year Joint Forward Plan (JFP) agreed between ICBs and partner NHS trusts and foundation trusts that sets out how they all will exercise their functions over the next five years to deliver against local strategies and national priorities. The JFP looks to address the health needs of the population, sets out the activities required to deliver it, who is responsible for these, the phasing of these activities, monitoring requirements and financial management arrangements. This plan will include how ICBs will arrange for the provision of care services and the agreed role that providers will have in transforming services to achieve outcomes in the plan. JFPs will be updated annually, informing operational plans that set out in greater detail actions to be taken for delivery by the ICB and partner trusts. The ICB and its partner trusts/FTs will also agree a capital plan that underpins the delivery identified in the JFP. </w:t>
            </w:r>
          </w:p>
          <w:p w14:paraId="66F7B14E" w14:textId="3C9F42D1" w:rsidR="00884B23" w:rsidRPr="00A161AC" w:rsidRDefault="00884B23" w:rsidP="00FC33C8">
            <w:pPr>
              <w:spacing w:after="0"/>
              <w:rPr>
                <w:sz w:val="20"/>
                <w:szCs w:val="20"/>
              </w:rPr>
            </w:pPr>
            <w:r w:rsidRPr="00A161AC">
              <w:rPr>
                <w:b/>
                <w:bCs/>
                <w:sz w:val="20"/>
                <w:szCs w:val="20"/>
              </w:rPr>
              <w:t xml:space="preserve"> Including an assessment of how the following relevant duties have been discharged</w:t>
            </w:r>
            <w:r w:rsidR="00EF021E" w:rsidRPr="00A161AC">
              <w:rPr>
                <w:b/>
                <w:bCs/>
                <w:sz w:val="20"/>
                <w:szCs w:val="20"/>
              </w:rPr>
              <w:t>:</w:t>
            </w:r>
          </w:p>
          <w:p w14:paraId="4759EF60" w14:textId="1DE3C1B9" w:rsidR="00884B23" w:rsidRPr="00A161AC" w:rsidRDefault="00884B23" w:rsidP="00AB4B85">
            <w:pPr>
              <w:numPr>
                <w:ilvl w:val="0"/>
                <w:numId w:val="8"/>
              </w:numPr>
              <w:spacing w:after="0"/>
              <w:rPr>
                <w:sz w:val="20"/>
                <w:szCs w:val="20"/>
              </w:rPr>
            </w:pPr>
            <w:r w:rsidRPr="00A161AC">
              <w:rPr>
                <w:b/>
                <w:bCs/>
                <w:sz w:val="20"/>
                <w:szCs w:val="20"/>
              </w:rPr>
              <w:t xml:space="preserve">Duty to have regard to </w:t>
            </w:r>
            <w:r w:rsidR="00530E79" w:rsidRPr="00A161AC">
              <w:rPr>
                <w:b/>
                <w:bCs/>
                <w:sz w:val="20"/>
                <w:szCs w:val="20"/>
              </w:rPr>
              <w:t xml:space="preserve">joint strategic needs assessments,  integrated care strategies and </w:t>
            </w:r>
            <w:r w:rsidRPr="00A161AC">
              <w:rPr>
                <w:b/>
                <w:bCs/>
                <w:sz w:val="20"/>
                <w:szCs w:val="20"/>
              </w:rPr>
              <w:t xml:space="preserve">local </w:t>
            </w:r>
            <w:r w:rsidR="00101811" w:rsidRPr="00A161AC">
              <w:rPr>
                <w:b/>
                <w:bCs/>
                <w:sz w:val="20"/>
                <w:szCs w:val="20"/>
              </w:rPr>
              <w:t>Health and Wellbeing</w:t>
            </w:r>
            <w:r w:rsidRPr="00A161AC">
              <w:rPr>
                <w:b/>
                <w:bCs/>
                <w:sz w:val="20"/>
                <w:szCs w:val="20"/>
              </w:rPr>
              <w:t xml:space="preserve"> strategies</w:t>
            </w:r>
          </w:p>
        </w:tc>
      </w:tr>
      <w:tr w:rsidR="00884B23" w:rsidRPr="00A161AC" w14:paraId="40C11B5B" w14:textId="77777777" w:rsidTr="0057375A">
        <w:trPr>
          <w:trHeight w:val="300"/>
        </w:trPr>
        <w:tc>
          <w:tcPr>
            <w:tcW w:w="1845" w:type="dxa"/>
            <w:vMerge/>
          </w:tcPr>
          <w:p w14:paraId="3DA552E4" w14:textId="77777777" w:rsidR="00884B23" w:rsidRPr="00A161AC" w:rsidRDefault="00884B23" w:rsidP="00FC33C8">
            <w:pPr>
              <w:rPr>
                <w:b/>
                <w:sz w:val="20"/>
                <w:szCs w:val="20"/>
              </w:rPr>
            </w:pPr>
          </w:p>
        </w:tc>
        <w:tc>
          <w:tcPr>
            <w:tcW w:w="1699" w:type="dxa"/>
          </w:tcPr>
          <w:p w14:paraId="0A69C8FA" w14:textId="77777777" w:rsidR="00884B23" w:rsidRPr="00A161AC" w:rsidRDefault="00884B23" w:rsidP="00FC33C8">
            <w:pPr>
              <w:rPr>
                <w:b/>
                <w:sz w:val="20"/>
                <w:szCs w:val="20"/>
              </w:rPr>
            </w:pPr>
            <w:r w:rsidRPr="00A161AC">
              <w:rPr>
                <w:b/>
                <w:sz w:val="20"/>
                <w:szCs w:val="20"/>
              </w:rPr>
              <w:t>Involving and engagement</w:t>
            </w:r>
          </w:p>
        </w:tc>
        <w:tc>
          <w:tcPr>
            <w:tcW w:w="6521" w:type="dxa"/>
          </w:tcPr>
          <w:p w14:paraId="174FD1A0" w14:textId="67A1E655" w:rsidR="00884B23" w:rsidRPr="00A161AC" w:rsidRDefault="00884B23" w:rsidP="00FC33C8">
            <w:pPr>
              <w:rPr>
                <w:sz w:val="20"/>
                <w:szCs w:val="20"/>
              </w:rPr>
            </w:pPr>
            <w:r w:rsidRPr="00A161AC">
              <w:rPr>
                <w:sz w:val="20"/>
                <w:szCs w:val="20"/>
              </w:rPr>
              <w:t>There is comprehensive engagement of a range of voices on system plans and strategies, including public, patient and carer views, clinical and care professional expertise and advice (including through clinical networks) and the wide range of partner and provider perspectives including the voluntary sector</w:t>
            </w:r>
            <w:r w:rsidR="00101811" w:rsidRPr="00A161AC">
              <w:rPr>
                <w:sz w:val="20"/>
                <w:szCs w:val="20"/>
              </w:rPr>
              <w:t>, Healthwatch</w:t>
            </w:r>
            <w:r w:rsidRPr="00A161AC">
              <w:rPr>
                <w:sz w:val="20"/>
                <w:szCs w:val="20"/>
              </w:rPr>
              <w:t xml:space="preserve"> and partners beyond health.  </w:t>
            </w:r>
          </w:p>
          <w:p w14:paraId="6C29A071" w14:textId="3D8ACD0E" w:rsidR="00884B23" w:rsidRPr="00A161AC" w:rsidRDefault="00EF021E" w:rsidP="00FC33C8">
            <w:pPr>
              <w:spacing w:after="0"/>
              <w:rPr>
                <w:sz w:val="20"/>
                <w:szCs w:val="20"/>
              </w:rPr>
            </w:pPr>
            <w:r w:rsidRPr="00A161AC">
              <w:rPr>
                <w:b/>
                <w:bCs/>
                <w:sz w:val="20"/>
                <w:szCs w:val="20"/>
              </w:rPr>
              <w:t>Including an assessment of how the following relevant duties have been discharged:</w:t>
            </w:r>
          </w:p>
          <w:p w14:paraId="13FD0D88" w14:textId="77777777" w:rsidR="00884B23" w:rsidRPr="00A161AC" w:rsidRDefault="00884B23" w:rsidP="00AB4B85">
            <w:pPr>
              <w:numPr>
                <w:ilvl w:val="0"/>
                <w:numId w:val="9"/>
              </w:numPr>
              <w:spacing w:after="0"/>
              <w:rPr>
                <w:sz w:val="20"/>
                <w:szCs w:val="20"/>
              </w:rPr>
            </w:pPr>
            <w:r w:rsidRPr="00A161AC">
              <w:rPr>
                <w:b/>
                <w:bCs/>
                <w:sz w:val="20"/>
                <w:szCs w:val="20"/>
              </w:rPr>
              <w:t>Duty to promote the involvement of each patient</w:t>
            </w:r>
          </w:p>
          <w:p w14:paraId="15CB74D8" w14:textId="77777777" w:rsidR="00530E79" w:rsidRPr="00A161AC" w:rsidRDefault="00530E79" w:rsidP="00AB4B85">
            <w:pPr>
              <w:numPr>
                <w:ilvl w:val="0"/>
                <w:numId w:val="9"/>
              </w:numPr>
              <w:spacing w:after="0"/>
              <w:rPr>
                <w:sz w:val="20"/>
                <w:szCs w:val="20"/>
              </w:rPr>
            </w:pPr>
            <w:r w:rsidRPr="00A161AC">
              <w:rPr>
                <w:b/>
                <w:bCs/>
                <w:sz w:val="20"/>
                <w:szCs w:val="20"/>
              </w:rPr>
              <w:t>Duty to involve patients, carers and the public in decisions about the planning, development and operation of services commissioned and provided</w:t>
            </w:r>
          </w:p>
          <w:p w14:paraId="19F4006D" w14:textId="77777777" w:rsidR="00884B23" w:rsidRPr="00A161AC" w:rsidRDefault="00884B23" w:rsidP="00AB4B85">
            <w:pPr>
              <w:numPr>
                <w:ilvl w:val="0"/>
                <w:numId w:val="9"/>
              </w:numPr>
              <w:spacing w:after="0"/>
              <w:rPr>
                <w:sz w:val="20"/>
                <w:szCs w:val="20"/>
              </w:rPr>
            </w:pPr>
            <w:r w:rsidRPr="00A161AC">
              <w:rPr>
                <w:b/>
                <w:bCs/>
                <w:sz w:val="20"/>
                <w:szCs w:val="20"/>
              </w:rPr>
              <w:t>Duty to obtain appropriate advice.</w:t>
            </w:r>
          </w:p>
        </w:tc>
      </w:tr>
      <w:tr w:rsidR="00884B23" w:rsidRPr="00A161AC" w14:paraId="00B560BD" w14:textId="77777777" w:rsidTr="0057375A">
        <w:trPr>
          <w:cnfStyle w:val="000000100000" w:firstRow="0" w:lastRow="0" w:firstColumn="0" w:lastColumn="0" w:oddVBand="0" w:evenVBand="0" w:oddHBand="1" w:evenHBand="0" w:firstRowFirstColumn="0" w:firstRowLastColumn="0" w:lastRowFirstColumn="0" w:lastRowLastColumn="0"/>
          <w:trHeight w:val="300"/>
        </w:trPr>
        <w:tc>
          <w:tcPr>
            <w:tcW w:w="1845" w:type="dxa"/>
            <w:vMerge w:val="restart"/>
          </w:tcPr>
          <w:p w14:paraId="4B435005" w14:textId="77777777" w:rsidR="00884B23" w:rsidRPr="00A161AC" w:rsidRDefault="00884B23" w:rsidP="00FC33C8">
            <w:pPr>
              <w:rPr>
                <w:b/>
                <w:sz w:val="20"/>
                <w:szCs w:val="20"/>
              </w:rPr>
            </w:pPr>
            <w:r w:rsidRPr="00A161AC">
              <w:rPr>
                <w:b/>
                <w:sz w:val="20"/>
                <w:szCs w:val="20"/>
              </w:rPr>
              <w:t>B – Leadership of the NHS</w:t>
            </w:r>
          </w:p>
        </w:tc>
        <w:tc>
          <w:tcPr>
            <w:tcW w:w="1699" w:type="dxa"/>
          </w:tcPr>
          <w:p w14:paraId="7061A11C" w14:textId="77777777" w:rsidR="00884B23" w:rsidRPr="00A161AC" w:rsidRDefault="00884B23" w:rsidP="00FC33C8">
            <w:pPr>
              <w:rPr>
                <w:b/>
                <w:sz w:val="20"/>
                <w:szCs w:val="20"/>
              </w:rPr>
            </w:pPr>
            <w:r w:rsidRPr="00A161AC">
              <w:rPr>
                <w:b/>
                <w:sz w:val="20"/>
                <w:szCs w:val="20"/>
              </w:rPr>
              <w:t>Leading the NHS</w:t>
            </w:r>
          </w:p>
        </w:tc>
        <w:tc>
          <w:tcPr>
            <w:tcW w:w="6521" w:type="dxa"/>
          </w:tcPr>
          <w:p w14:paraId="6C6EB272" w14:textId="77777777" w:rsidR="00884B23" w:rsidRPr="00A161AC" w:rsidRDefault="00884B23" w:rsidP="00FC33C8">
            <w:pPr>
              <w:rPr>
                <w:sz w:val="20"/>
                <w:szCs w:val="20"/>
              </w:rPr>
            </w:pPr>
            <w:r w:rsidRPr="00A161AC">
              <w:rPr>
                <w:sz w:val="20"/>
                <w:szCs w:val="20"/>
              </w:rPr>
              <w:t xml:space="preserve">ICBs are recognised as the local leaders of the NHS. They have established and provide ongoing support to joint working arrangements with NHS and wider system partners that embed collaboration as the </w:t>
            </w:r>
            <w:r w:rsidRPr="00A161AC">
              <w:rPr>
                <w:sz w:val="20"/>
                <w:szCs w:val="20"/>
              </w:rPr>
              <w:lastRenderedPageBreak/>
              <w:t>basis for delivery. ICBs are aware of the strengths and development needs of partner organisations.</w:t>
            </w:r>
          </w:p>
          <w:p w14:paraId="02A998B9" w14:textId="77777777" w:rsidR="00AA5BA4" w:rsidRPr="00A161AC" w:rsidRDefault="00884B23" w:rsidP="00F837E0">
            <w:pPr>
              <w:spacing w:after="0"/>
              <w:rPr>
                <w:sz w:val="20"/>
                <w:szCs w:val="20"/>
              </w:rPr>
            </w:pPr>
            <w:r w:rsidRPr="00A161AC">
              <w:rPr>
                <w:b/>
                <w:sz w:val="20"/>
                <w:szCs w:val="20"/>
              </w:rPr>
              <w:t xml:space="preserve"> Including an assessment of how the following relevant duties have been discharged:</w:t>
            </w:r>
            <w:r w:rsidR="004A762A" w:rsidRPr="00A161AC">
              <w:rPr>
                <w:b/>
                <w:sz w:val="20"/>
                <w:szCs w:val="20"/>
              </w:rPr>
              <w:t xml:space="preserve"> </w:t>
            </w:r>
          </w:p>
          <w:p w14:paraId="6DC0A23E" w14:textId="4115F6CB" w:rsidR="00884B23" w:rsidRPr="00A161AC" w:rsidRDefault="00884B23" w:rsidP="00AB4B85">
            <w:pPr>
              <w:pStyle w:val="ListParagraph"/>
              <w:numPr>
                <w:ilvl w:val="0"/>
                <w:numId w:val="13"/>
              </w:numPr>
              <w:spacing w:after="0"/>
              <w:rPr>
                <w:sz w:val="20"/>
                <w:szCs w:val="20"/>
              </w:rPr>
            </w:pPr>
            <w:r w:rsidRPr="00A161AC">
              <w:rPr>
                <w:b/>
                <w:bCs/>
                <w:sz w:val="20"/>
                <w:szCs w:val="20"/>
              </w:rPr>
              <w:t>Duty to promote the NHS constitution</w:t>
            </w:r>
          </w:p>
          <w:p w14:paraId="121D14D8" w14:textId="77777777" w:rsidR="00884B23" w:rsidRPr="00A161AC" w:rsidRDefault="00884B23" w:rsidP="00AB4B85">
            <w:pPr>
              <w:pStyle w:val="ListParagraph"/>
              <w:numPr>
                <w:ilvl w:val="0"/>
                <w:numId w:val="13"/>
              </w:numPr>
              <w:spacing w:after="0"/>
              <w:rPr>
                <w:sz w:val="20"/>
                <w:szCs w:val="20"/>
              </w:rPr>
            </w:pPr>
            <w:r w:rsidRPr="00A161AC">
              <w:rPr>
                <w:b/>
                <w:bCs/>
                <w:sz w:val="20"/>
                <w:szCs w:val="20"/>
              </w:rPr>
              <w:t>Duty to promote integration</w:t>
            </w:r>
          </w:p>
        </w:tc>
      </w:tr>
      <w:tr w:rsidR="00884B23" w:rsidRPr="00A161AC" w14:paraId="2E7129D8" w14:textId="77777777" w:rsidTr="0057375A">
        <w:trPr>
          <w:trHeight w:val="300"/>
        </w:trPr>
        <w:tc>
          <w:tcPr>
            <w:tcW w:w="1845" w:type="dxa"/>
            <w:vMerge/>
          </w:tcPr>
          <w:p w14:paraId="494CE3F6" w14:textId="77777777" w:rsidR="00884B23" w:rsidRPr="00A161AC" w:rsidRDefault="00884B23" w:rsidP="00FC33C8">
            <w:pPr>
              <w:rPr>
                <w:b/>
                <w:sz w:val="20"/>
                <w:szCs w:val="20"/>
              </w:rPr>
            </w:pPr>
          </w:p>
        </w:tc>
        <w:tc>
          <w:tcPr>
            <w:tcW w:w="1699" w:type="dxa"/>
          </w:tcPr>
          <w:p w14:paraId="25D24224" w14:textId="77777777" w:rsidR="00884B23" w:rsidRPr="00A161AC" w:rsidRDefault="00884B23" w:rsidP="00FC33C8">
            <w:pPr>
              <w:rPr>
                <w:b/>
                <w:sz w:val="20"/>
                <w:szCs w:val="20"/>
              </w:rPr>
            </w:pPr>
            <w:r w:rsidRPr="00A161AC">
              <w:rPr>
                <w:b/>
                <w:sz w:val="20"/>
                <w:szCs w:val="20"/>
              </w:rPr>
              <w:t>Mutual accountability</w:t>
            </w:r>
          </w:p>
        </w:tc>
        <w:tc>
          <w:tcPr>
            <w:tcW w:w="6521" w:type="dxa"/>
          </w:tcPr>
          <w:p w14:paraId="0E4021FE" w14:textId="77777777" w:rsidR="00884B23" w:rsidRPr="00A161AC" w:rsidRDefault="00884B23" w:rsidP="00FC33C8">
            <w:pPr>
              <w:rPr>
                <w:sz w:val="20"/>
                <w:szCs w:val="20"/>
              </w:rPr>
            </w:pPr>
            <w:r w:rsidRPr="00A161AC">
              <w:rPr>
                <w:sz w:val="20"/>
                <w:szCs w:val="20"/>
              </w:rPr>
              <w:t>There are clear and explicit governance arrangements and effective decision-making structures between partner organisations for whole-system delivery and performance to deliver the Integrated Care Strategy, JFP including the ICB commissioning plan, system financial position and capital plan effectively.</w:t>
            </w:r>
          </w:p>
          <w:p w14:paraId="587BCDB9" w14:textId="77777777" w:rsidR="00AA5BA4" w:rsidRPr="00A161AC" w:rsidRDefault="00884B23" w:rsidP="00F837E0">
            <w:pPr>
              <w:spacing w:after="0"/>
              <w:rPr>
                <w:sz w:val="20"/>
                <w:szCs w:val="20"/>
              </w:rPr>
            </w:pPr>
            <w:r w:rsidRPr="00A161AC">
              <w:rPr>
                <w:b/>
                <w:sz w:val="20"/>
                <w:szCs w:val="20"/>
              </w:rPr>
              <w:t xml:space="preserve"> Including an assessment of how the following relevant duties have been discharged:</w:t>
            </w:r>
            <w:r w:rsidR="004A762A" w:rsidRPr="00A161AC">
              <w:rPr>
                <w:b/>
                <w:sz w:val="20"/>
                <w:szCs w:val="20"/>
              </w:rPr>
              <w:t xml:space="preserve"> </w:t>
            </w:r>
          </w:p>
          <w:p w14:paraId="4D64C89E" w14:textId="1C6AFB8A" w:rsidR="00884B23" w:rsidRPr="00A161AC" w:rsidRDefault="00884B23" w:rsidP="00AB4B85">
            <w:pPr>
              <w:pStyle w:val="ListParagraph"/>
              <w:numPr>
                <w:ilvl w:val="0"/>
                <w:numId w:val="12"/>
              </w:numPr>
              <w:spacing w:after="0"/>
              <w:rPr>
                <w:sz w:val="20"/>
                <w:szCs w:val="20"/>
              </w:rPr>
            </w:pPr>
            <w:r w:rsidRPr="00A161AC">
              <w:rPr>
                <w:b/>
                <w:bCs/>
                <w:sz w:val="20"/>
                <w:szCs w:val="20"/>
              </w:rPr>
              <w:t>Duty to promote the NHS constitution</w:t>
            </w:r>
            <w:r w:rsidR="00757F2E" w:rsidRPr="00A161AC">
              <w:rPr>
                <w:b/>
                <w:bCs/>
                <w:sz w:val="20"/>
                <w:szCs w:val="20"/>
              </w:rPr>
              <w:t>.</w:t>
            </w:r>
          </w:p>
        </w:tc>
      </w:tr>
      <w:tr w:rsidR="00884B23" w:rsidRPr="00A161AC" w14:paraId="3688AB37" w14:textId="77777777" w:rsidTr="0057375A">
        <w:trPr>
          <w:cnfStyle w:val="000000100000" w:firstRow="0" w:lastRow="0" w:firstColumn="0" w:lastColumn="0" w:oddVBand="0" w:evenVBand="0" w:oddHBand="1" w:evenHBand="0" w:firstRowFirstColumn="0" w:firstRowLastColumn="0" w:lastRowFirstColumn="0" w:lastRowLastColumn="0"/>
          <w:trHeight w:val="300"/>
        </w:trPr>
        <w:tc>
          <w:tcPr>
            <w:tcW w:w="1845" w:type="dxa"/>
            <w:vMerge/>
          </w:tcPr>
          <w:p w14:paraId="465F1225" w14:textId="77777777" w:rsidR="00884B23" w:rsidRPr="00A161AC" w:rsidRDefault="00884B23" w:rsidP="00FC33C8">
            <w:pPr>
              <w:rPr>
                <w:b/>
                <w:sz w:val="20"/>
                <w:szCs w:val="20"/>
              </w:rPr>
            </w:pPr>
          </w:p>
        </w:tc>
        <w:tc>
          <w:tcPr>
            <w:tcW w:w="1699" w:type="dxa"/>
          </w:tcPr>
          <w:p w14:paraId="4847E4A4" w14:textId="77777777" w:rsidR="00884B23" w:rsidRPr="00A161AC" w:rsidRDefault="00884B23" w:rsidP="00FC33C8">
            <w:pPr>
              <w:rPr>
                <w:b/>
                <w:sz w:val="20"/>
                <w:szCs w:val="20"/>
              </w:rPr>
            </w:pPr>
            <w:r w:rsidRPr="00A161AC">
              <w:rPr>
                <w:b/>
                <w:sz w:val="20"/>
                <w:szCs w:val="20"/>
              </w:rPr>
              <w:t xml:space="preserve">Influencing </w:t>
            </w:r>
          </w:p>
        </w:tc>
        <w:tc>
          <w:tcPr>
            <w:tcW w:w="6521" w:type="dxa"/>
          </w:tcPr>
          <w:p w14:paraId="091B4132" w14:textId="39BC82A3" w:rsidR="00884B23" w:rsidRPr="00A161AC" w:rsidRDefault="006068C4" w:rsidP="00FC33C8">
            <w:pPr>
              <w:rPr>
                <w:sz w:val="20"/>
                <w:szCs w:val="20"/>
              </w:rPr>
            </w:pPr>
            <w:r w:rsidRPr="00A161AC">
              <w:rPr>
                <w:sz w:val="20"/>
                <w:szCs w:val="20"/>
              </w:rPr>
              <w:t>ICBs build rapport and understanding with partners and community leaders to ensure that the NHS plays a full part in influencing the wider determinants of health such as social and economic development and environmental sustainability in a way which improves health outcomes.</w:t>
            </w:r>
            <w:r w:rsidR="00884B23" w:rsidRPr="00A161AC">
              <w:rPr>
                <w:sz w:val="20"/>
                <w:szCs w:val="20"/>
              </w:rPr>
              <w:t>.</w:t>
            </w:r>
          </w:p>
          <w:p w14:paraId="67B34257" w14:textId="77777777" w:rsidR="00AA5BA4" w:rsidRPr="00A161AC" w:rsidRDefault="00884B23" w:rsidP="00F837E0">
            <w:pPr>
              <w:spacing w:after="0"/>
              <w:rPr>
                <w:sz w:val="20"/>
                <w:szCs w:val="20"/>
              </w:rPr>
            </w:pPr>
            <w:r w:rsidRPr="00A161AC">
              <w:rPr>
                <w:b/>
                <w:sz w:val="20"/>
                <w:szCs w:val="20"/>
              </w:rPr>
              <w:t xml:space="preserve"> Including an assessment of how the following relevant duties have been discharged:</w:t>
            </w:r>
            <w:r w:rsidR="00EA2B17" w:rsidRPr="00A161AC">
              <w:rPr>
                <w:b/>
                <w:sz w:val="20"/>
                <w:szCs w:val="20"/>
              </w:rPr>
              <w:t xml:space="preserve"> </w:t>
            </w:r>
          </w:p>
          <w:p w14:paraId="6A05CD82" w14:textId="77777777" w:rsidR="00FD69DC" w:rsidRPr="00A161AC" w:rsidRDefault="00884B23" w:rsidP="00AB4B85">
            <w:pPr>
              <w:pStyle w:val="ListParagraph"/>
              <w:numPr>
                <w:ilvl w:val="0"/>
                <w:numId w:val="12"/>
              </w:numPr>
              <w:spacing w:after="0"/>
              <w:rPr>
                <w:sz w:val="20"/>
                <w:szCs w:val="20"/>
              </w:rPr>
            </w:pPr>
            <w:r w:rsidRPr="00A161AC">
              <w:rPr>
                <w:b/>
                <w:bCs/>
                <w:sz w:val="20"/>
                <w:szCs w:val="20"/>
              </w:rPr>
              <w:t xml:space="preserve">Duty to promote </w:t>
            </w:r>
            <w:r w:rsidR="00500077" w:rsidRPr="00A161AC">
              <w:rPr>
                <w:b/>
                <w:bCs/>
                <w:sz w:val="20"/>
                <w:szCs w:val="20"/>
              </w:rPr>
              <w:t>integration</w:t>
            </w:r>
          </w:p>
          <w:p w14:paraId="75A0D7EE" w14:textId="5CE3B717" w:rsidR="00884B23" w:rsidRPr="00A161AC" w:rsidRDefault="00FD69DC" w:rsidP="00AB4B85">
            <w:pPr>
              <w:pStyle w:val="ListParagraph"/>
              <w:numPr>
                <w:ilvl w:val="0"/>
                <w:numId w:val="12"/>
              </w:numPr>
              <w:spacing w:after="0"/>
              <w:rPr>
                <w:sz w:val="20"/>
                <w:szCs w:val="20"/>
              </w:rPr>
            </w:pPr>
            <w:r w:rsidRPr="00A161AC">
              <w:rPr>
                <w:b/>
                <w:bCs/>
                <w:sz w:val="20"/>
                <w:szCs w:val="20"/>
              </w:rPr>
              <w:t>Duty in respect of climate change</w:t>
            </w:r>
            <w:r w:rsidR="008934BA" w:rsidRPr="00A161AC">
              <w:rPr>
                <w:b/>
                <w:bCs/>
                <w:sz w:val="20"/>
                <w:szCs w:val="20"/>
              </w:rPr>
              <w:t>.</w:t>
            </w:r>
          </w:p>
        </w:tc>
      </w:tr>
      <w:tr w:rsidR="00884B23" w:rsidRPr="00A161AC" w14:paraId="0A94BBA4" w14:textId="77777777" w:rsidTr="57BE943D">
        <w:trPr>
          <w:trHeight w:val="2055"/>
        </w:trPr>
        <w:tc>
          <w:tcPr>
            <w:tcW w:w="1845" w:type="dxa"/>
            <w:vMerge w:val="restart"/>
          </w:tcPr>
          <w:p w14:paraId="341D2A3C" w14:textId="319248A6" w:rsidR="00884B23" w:rsidRPr="00A161AC" w:rsidRDefault="00884B23" w:rsidP="00FC33C8">
            <w:pPr>
              <w:rPr>
                <w:b/>
                <w:sz w:val="20"/>
                <w:szCs w:val="20"/>
              </w:rPr>
            </w:pPr>
            <w:r w:rsidRPr="00A161AC">
              <w:rPr>
                <w:b/>
                <w:sz w:val="20"/>
                <w:szCs w:val="20"/>
              </w:rPr>
              <w:t xml:space="preserve">C - Arranging </w:t>
            </w:r>
            <w:r w:rsidR="00101811" w:rsidRPr="00A161AC">
              <w:rPr>
                <w:b/>
                <w:sz w:val="20"/>
                <w:szCs w:val="20"/>
              </w:rPr>
              <w:t xml:space="preserve">for </w:t>
            </w:r>
            <w:r w:rsidRPr="00A161AC">
              <w:rPr>
                <w:b/>
                <w:sz w:val="20"/>
                <w:szCs w:val="20"/>
              </w:rPr>
              <w:t>the provision of healthcare services (strategic commissioning)</w:t>
            </w:r>
          </w:p>
        </w:tc>
        <w:tc>
          <w:tcPr>
            <w:tcW w:w="1699" w:type="dxa"/>
          </w:tcPr>
          <w:p w14:paraId="5DE9FDB0" w14:textId="77777777" w:rsidR="00884B23" w:rsidRPr="00A161AC" w:rsidRDefault="00884B23" w:rsidP="00FC33C8">
            <w:pPr>
              <w:rPr>
                <w:b/>
                <w:sz w:val="20"/>
                <w:szCs w:val="20"/>
              </w:rPr>
            </w:pPr>
            <w:r w:rsidRPr="00A161AC">
              <w:rPr>
                <w:b/>
                <w:sz w:val="20"/>
                <w:szCs w:val="20"/>
              </w:rPr>
              <w:t>Allocating resources</w:t>
            </w:r>
          </w:p>
        </w:tc>
        <w:tc>
          <w:tcPr>
            <w:tcW w:w="6521" w:type="dxa"/>
          </w:tcPr>
          <w:p w14:paraId="74B6241F" w14:textId="2A29B5C0" w:rsidR="00884B23" w:rsidRPr="00A161AC" w:rsidRDefault="00CF6592" w:rsidP="00FC33C8">
            <w:pPr>
              <w:rPr>
                <w:sz w:val="20"/>
                <w:szCs w:val="20"/>
              </w:rPr>
            </w:pPr>
            <w:r w:rsidRPr="00A161AC">
              <w:rPr>
                <w:sz w:val="20"/>
                <w:szCs w:val="20"/>
              </w:rPr>
              <w:t xml:space="preserve">The ICB and its partners (provider collaboratives and place based partnerships) effectively plan for the allocation of resources based upon a shared and granular understanding of the current and planned future use of the ICB's budget to meet population health needs. Plans utilise appropriate cost and payments data and in agreeing future resource allocation, they consider available data on unwarranted variation in unmet need, outcomes, the use of resources and good practice care models. </w:t>
            </w:r>
          </w:p>
        </w:tc>
      </w:tr>
      <w:tr w:rsidR="00884B23" w:rsidRPr="00A161AC" w14:paraId="2B36996C" w14:textId="77777777" w:rsidTr="0057375A">
        <w:trPr>
          <w:cnfStyle w:val="000000100000" w:firstRow="0" w:lastRow="0" w:firstColumn="0" w:lastColumn="0" w:oddVBand="0" w:evenVBand="0" w:oddHBand="1" w:evenHBand="0" w:firstRowFirstColumn="0" w:firstRowLastColumn="0" w:lastRowFirstColumn="0" w:lastRowLastColumn="0"/>
          <w:trHeight w:val="3390"/>
        </w:trPr>
        <w:tc>
          <w:tcPr>
            <w:tcW w:w="1845" w:type="dxa"/>
            <w:vMerge/>
          </w:tcPr>
          <w:p w14:paraId="06EF3828" w14:textId="77777777" w:rsidR="00884B23" w:rsidRPr="00A161AC" w:rsidRDefault="00884B23" w:rsidP="00FC33C8">
            <w:pPr>
              <w:rPr>
                <w:b/>
                <w:sz w:val="20"/>
                <w:szCs w:val="20"/>
              </w:rPr>
            </w:pPr>
          </w:p>
        </w:tc>
        <w:tc>
          <w:tcPr>
            <w:tcW w:w="1699" w:type="dxa"/>
          </w:tcPr>
          <w:p w14:paraId="224A0524" w14:textId="77777777" w:rsidR="00884B23" w:rsidRPr="00A161AC" w:rsidRDefault="00884B23" w:rsidP="00FC33C8">
            <w:pPr>
              <w:rPr>
                <w:b/>
                <w:sz w:val="20"/>
                <w:szCs w:val="20"/>
              </w:rPr>
            </w:pPr>
            <w:r w:rsidRPr="00A161AC">
              <w:rPr>
                <w:b/>
                <w:sz w:val="20"/>
                <w:szCs w:val="20"/>
              </w:rPr>
              <w:t>Shaping the design of services and service provision</w:t>
            </w:r>
          </w:p>
        </w:tc>
        <w:tc>
          <w:tcPr>
            <w:tcW w:w="6521" w:type="dxa"/>
          </w:tcPr>
          <w:p w14:paraId="0CB3E8CF" w14:textId="70616C8D" w:rsidR="00884B23" w:rsidRPr="00A161AC" w:rsidRDefault="00884B23" w:rsidP="00FC33C8">
            <w:pPr>
              <w:rPr>
                <w:sz w:val="20"/>
                <w:szCs w:val="20"/>
              </w:rPr>
            </w:pPr>
            <w:r w:rsidRPr="00A161AC">
              <w:rPr>
                <w:sz w:val="20"/>
                <w:szCs w:val="20"/>
              </w:rPr>
              <w:t xml:space="preserve">ICBs work in </w:t>
            </w:r>
            <w:r w:rsidR="00E9788F" w:rsidRPr="00A161AC">
              <w:rPr>
                <w:sz w:val="20"/>
                <w:szCs w:val="20"/>
              </w:rPr>
              <w:t xml:space="preserve">in </w:t>
            </w:r>
            <w:r w:rsidRPr="00A161AC">
              <w:rPr>
                <w:sz w:val="20"/>
                <w:szCs w:val="20"/>
              </w:rPr>
              <w:t xml:space="preserve">collaboration with patients, clinicians, </w:t>
            </w:r>
            <w:r w:rsidR="00E9788F" w:rsidRPr="00A161AC">
              <w:rPr>
                <w:sz w:val="20"/>
                <w:szCs w:val="20"/>
              </w:rPr>
              <w:t>and system partners (provider collaboratives and place based partnerships)</w:t>
            </w:r>
            <w:r w:rsidRPr="00A161AC">
              <w:rPr>
                <w:sz w:val="20"/>
                <w:szCs w:val="20"/>
              </w:rPr>
              <w:t xml:space="preserve"> to design and plan for the provision of services (including for delegated commissioning functions) for all population groups, delivering the right care, at the right time and in the right place to meet identified needs. Investment is used to shape the provision of care services to ensure that there are sufficient services to meet both current and future projected demand, provide choice, drive quality improvement and secure the desired health outcomes.  </w:t>
            </w:r>
          </w:p>
          <w:p w14:paraId="3EBBD6E4" w14:textId="77777777" w:rsidR="00AA5BA4" w:rsidRPr="00A161AC" w:rsidRDefault="00884B23" w:rsidP="008934BA">
            <w:pPr>
              <w:spacing w:after="0"/>
              <w:rPr>
                <w:sz w:val="20"/>
                <w:szCs w:val="20"/>
              </w:rPr>
            </w:pPr>
            <w:r w:rsidRPr="00A161AC">
              <w:rPr>
                <w:b/>
                <w:bCs/>
                <w:sz w:val="20"/>
                <w:szCs w:val="20"/>
              </w:rPr>
              <w:t xml:space="preserve"> Including an assessment of how the following relevant duties have been discharged:</w:t>
            </w:r>
            <w:r w:rsidR="004A762A" w:rsidRPr="00A161AC">
              <w:rPr>
                <w:b/>
                <w:bCs/>
                <w:sz w:val="20"/>
                <w:szCs w:val="20"/>
              </w:rPr>
              <w:t xml:space="preserve"> </w:t>
            </w:r>
          </w:p>
          <w:p w14:paraId="6CF6FF8C" w14:textId="596CF7A4" w:rsidR="00884B23" w:rsidRPr="00A161AC" w:rsidRDefault="00884B23" w:rsidP="00AB4B85">
            <w:pPr>
              <w:numPr>
                <w:ilvl w:val="0"/>
                <w:numId w:val="10"/>
              </w:numPr>
              <w:spacing w:after="0"/>
              <w:rPr>
                <w:sz w:val="20"/>
                <w:szCs w:val="20"/>
              </w:rPr>
            </w:pPr>
            <w:r w:rsidRPr="00A161AC">
              <w:rPr>
                <w:b/>
                <w:bCs/>
                <w:sz w:val="20"/>
                <w:szCs w:val="20"/>
              </w:rPr>
              <w:t xml:space="preserve">Duty </w:t>
            </w:r>
            <w:r w:rsidR="00530E79" w:rsidRPr="00A161AC">
              <w:rPr>
                <w:b/>
                <w:bCs/>
                <w:sz w:val="20"/>
                <w:szCs w:val="20"/>
              </w:rPr>
              <w:t xml:space="preserve">as </w:t>
            </w:r>
            <w:r w:rsidRPr="00A161AC">
              <w:rPr>
                <w:b/>
                <w:bCs/>
                <w:sz w:val="20"/>
                <w:szCs w:val="20"/>
              </w:rPr>
              <w:t>to patient choice</w:t>
            </w:r>
          </w:p>
          <w:p w14:paraId="5AB6A075" w14:textId="3539B19B" w:rsidR="00884B23" w:rsidRPr="00A161AC" w:rsidRDefault="00530E79" w:rsidP="00AB4B85">
            <w:pPr>
              <w:numPr>
                <w:ilvl w:val="0"/>
                <w:numId w:val="10"/>
              </w:numPr>
              <w:spacing w:after="0"/>
              <w:rPr>
                <w:sz w:val="20"/>
                <w:szCs w:val="20"/>
              </w:rPr>
            </w:pPr>
            <w:r w:rsidRPr="00A161AC">
              <w:rPr>
                <w:b/>
                <w:bCs/>
                <w:sz w:val="20"/>
                <w:szCs w:val="20"/>
              </w:rPr>
              <w:t>Duty to involve patients, carers and the public in decisions about the planning, development and operation of services commissioned and provided</w:t>
            </w:r>
          </w:p>
        </w:tc>
      </w:tr>
      <w:tr w:rsidR="00884B23" w:rsidRPr="00A161AC" w14:paraId="06C93E32" w14:textId="77777777" w:rsidTr="0057375A">
        <w:trPr>
          <w:trHeight w:val="1275"/>
        </w:trPr>
        <w:tc>
          <w:tcPr>
            <w:tcW w:w="1845" w:type="dxa"/>
            <w:vMerge/>
          </w:tcPr>
          <w:p w14:paraId="68A893CE" w14:textId="77777777" w:rsidR="00884B23" w:rsidRPr="00A161AC" w:rsidRDefault="00884B23" w:rsidP="00FC33C8">
            <w:pPr>
              <w:rPr>
                <w:b/>
                <w:sz w:val="20"/>
                <w:szCs w:val="20"/>
              </w:rPr>
            </w:pPr>
          </w:p>
        </w:tc>
        <w:tc>
          <w:tcPr>
            <w:tcW w:w="1699" w:type="dxa"/>
          </w:tcPr>
          <w:p w14:paraId="263B424B" w14:textId="77777777" w:rsidR="00884B23" w:rsidRPr="00A161AC" w:rsidRDefault="00884B23" w:rsidP="00FC33C8">
            <w:pPr>
              <w:spacing w:after="0"/>
              <w:rPr>
                <w:b/>
                <w:sz w:val="20"/>
                <w:szCs w:val="20"/>
              </w:rPr>
            </w:pPr>
            <w:r w:rsidRPr="00A161AC">
              <w:rPr>
                <w:b/>
                <w:sz w:val="20"/>
                <w:szCs w:val="20"/>
              </w:rPr>
              <w:t>Procuring and contracting for the provision of services</w:t>
            </w:r>
          </w:p>
        </w:tc>
        <w:tc>
          <w:tcPr>
            <w:tcW w:w="6521" w:type="dxa"/>
          </w:tcPr>
          <w:p w14:paraId="4A6B05C5" w14:textId="77777777" w:rsidR="00884B23" w:rsidRPr="00A161AC" w:rsidRDefault="00884B23" w:rsidP="00FC33C8">
            <w:pPr>
              <w:spacing w:after="0"/>
              <w:rPr>
                <w:sz w:val="20"/>
                <w:szCs w:val="20"/>
              </w:rPr>
            </w:pPr>
            <w:r w:rsidRPr="00A161AC">
              <w:rPr>
                <w:sz w:val="20"/>
                <w:szCs w:val="20"/>
              </w:rPr>
              <w:t>Effective procurement of hospital, community and mental health NHS services in line with the Provider Selection Regime, and NHSE frameworks and standards, as well as services where NHSE has delegated commissioning responsibility. </w:t>
            </w:r>
          </w:p>
        </w:tc>
      </w:tr>
      <w:tr w:rsidR="00884B23" w:rsidRPr="00A161AC" w14:paraId="4D0BAF06" w14:textId="77777777" w:rsidTr="0057375A">
        <w:trPr>
          <w:cnfStyle w:val="000000100000" w:firstRow="0" w:lastRow="0" w:firstColumn="0" w:lastColumn="0" w:oddVBand="0" w:evenVBand="0" w:oddHBand="1" w:evenHBand="0" w:firstRowFirstColumn="0" w:firstRowLastColumn="0" w:lastRowFirstColumn="0" w:lastRowLastColumn="0"/>
          <w:trHeight w:val="300"/>
        </w:trPr>
        <w:tc>
          <w:tcPr>
            <w:tcW w:w="1845" w:type="dxa"/>
            <w:vMerge w:val="restart"/>
          </w:tcPr>
          <w:p w14:paraId="7163BFA8" w14:textId="77777777" w:rsidR="00884B23" w:rsidRPr="00A161AC" w:rsidRDefault="00884B23" w:rsidP="00FC33C8">
            <w:pPr>
              <w:rPr>
                <w:b/>
                <w:sz w:val="20"/>
                <w:szCs w:val="20"/>
              </w:rPr>
            </w:pPr>
            <w:r w:rsidRPr="00A161AC">
              <w:rPr>
                <w:b/>
                <w:sz w:val="20"/>
                <w:szCs w:val="20"/>
              </w:rPr>
              <w:t>D – Assuring performance, quality and delivery</w:t>
            </w:r>
          </w:p>
        </w:tc>
        <w:tc>
          <w:tcPr>
            <w:tcW w:w="1699" w:type="dxa"/>
          </w:tcPr>
          <w:p w14:paraId="1ABC726A" w14:textId="77777777" w:rsidR="00884B23" w:rsidRPr="00A161AC" w:rsidRDefault="00884B23" w:rsidP="00FC33C8">
            <w:pPr>
              <w:rPr>
                <w:b/>
                <w:sz w:val="20"/>
                <w:szCs w:val="20"/>
              </w:rPr>
            </w:pPr>
            <w:r w:rsidRPr="00A161AC">
              <w:rPr>
                <w:b/>
                <w:sz w:val="20"/>
                <w:szCs w:val="20"/>
              </w:rPr>
              <w:t>Delivery of assurance and oversight</w:t>
            </w:r>
          </w:p>
        </w:tc>
        <w:tc>
          <w:tcPr>
            <w:tcW w:w="6521" w:type="dxa"/>
          </w:tcPr>
          <w:p w14:paraId="4A7E1304" w14:textId="77777777" w:rsidR="00884B23" w:rsidRPr="00A161AC" w:rsidRDefault="00884B23" w:rsidP="00FC33C8">
            <w:pPr>
              <w:rPr>
                <w:sz w:val="20"/>
                <w:szCs w:val="20"/>
              </w:rPr>
            </w:pPr>
            <w:r w:rsidRPr="00A161AC">
              <w:rPr>
                <w:sz w:val="20"/>
                <w:szCs w:val="20"/>
              </w:rPr>
              <w:t xml:space="preserve">There are clear arrangements for assurance of delivery for individual organisations and across the system as a whole. ICBs hold all providers they commission – including IS – to account for quality and performance, securing ongoing assurance that the provider can meet these requirements.  </w:t>
            </w:r>
          </w:p>
          <w:p w14:paraId="61AC575E" w14:textId="1DD3A66E" w:rsidR="00884B23" w:rsidRPr="00A161AC" w:rsidRDefault="00884B23" w:rsidP="00FC33C8">
            <w:pPr>
              <w:rPr>
                <w:sz w:val="20"/>
                <w:szCs w:val="20"/>
              </w:rPr>
            </w:pPr>
            <w:r w:rsidRPr="00A161AC">
              <w:rPr>
                <w:sz w:val="20"/>
                <w:szCs w:val="20"/>
              </w:rPr>
              <w:t xml:space="preserve">To reinforce commitment to system-wide (rather than single organisation) approaches to improvement, ICBs act as the first line of oversight for partner trusts/FTs apportioned to them for financial control purposes  (including determination of with and through) </w:t>
            </w:r>
            <w:r w:rsidR="63BD13DC" w:rsidRPr="00A161AC">
              <w:rPr>
                <w:sz w:val="20"/>
                <w:szCs w:val="20"/>
              </w:rPr>
              <w:t xml:space="preserve">as agreed </w:t>
            </w:r>
            <w:r w:rsidR="4A5DA993" w:rsidRPr="00A161AC">
              <w:rPr>
                <w:sz w:val="20"/>
                <w:szCs w:val="20"/>
              </w:rPr>
              <w:t>with</w:t>
            </w:r>
            <w:r w:rsidR="6DBEF7A6" w:rsidRPr="00A161AC">
              <w:rPr>
                <w:sz w:val="20"/>
                <w:szCs w:val="20"/>
              </w:rPr>
              <w:t xml:space="preserve"> </w:t>
            </w:r>
            <w:r w:rsidRPr="00A161AC">
              <w:rPr>
                <w:sz w:val="20"/>
                <w:szCs w:val="20"/>
              </w:rPr>
              <w:t xml:space="preserve">NHS England. ICBs and partner trusts/FTs hold one another to account through the mutual accountability arrangements for the delivery of their shared JFP and Capital Plan and national priorities as set by </w:t>
            </w:r>
            <w:r w:rsidR="4A5DA993" w:rsidRPr="00A161AC">
              <w:rPr>
                <w:sz w:val="20"/>
                <w:szCs w:val="20"/>
              </w:rPr>
              <w:t>NHS</w:t>
            </w:r>
            <w:r w:rsidR="4C4FB96B" w:rsidRPr="00A161AC">
              <w:rPr>
                <w:sz w:val="20"/>
                <w:szCs w:val="20"/>
              </w:rPr>
              <w:t xml:space="preserve"> </w:t>
            </w:r>
            <w:r w:rsidR="4A5DA993" w:rsidRPr="00A161AC">
              <w:rPr>
                <w:sz w:val="20"/>
                <w:szCs w:val="20"/>
              </w:rPr>
              <w:t>E</w:t>
            </w:r>
            <w:r w:rsidR="695306FC" w:rsidRPr="00A161AC">
              <w:rPr>
                <w:sz w:val="20"/>
                <w:szCs w:val="20"/>
              </w:rPr>
              <w:t>ngland</w:t>
            </w:r>
            <w:r w:rsidRPr="00A161AC">
              <w:rPr>
                <w:sz w:val="20"/>
                <w:szCs w:val="20"/>
              </w:rPr>
              <w:t>.   </w:t>
            </w:r>
          </w:p>
          <w:p w14:paraId="38595F91" w14:textId="77777777" w:rsidR="00AA5BA4" w:rsidRPr="00A161AC" w:rsidRDefault="00884B23" w:rsidP="00F837E0">
            <w:pPr>
              <w:spacing w:after="0"/>
              <w:rPr>
                <w:sz w:val="20"/>
                <w:szCs w:val="20"/>
              </w:rPr>
            </w:pPr>
            <w:r w:rsidRPr="00A161AC">
              <w:rPr>
                <w:b/>
                <w:sz w:val="20"/>
                <w:szCs w:val="20"/>
              </w:rPr>
              <w:t>Including an assessment of how the following relevant duties have been discharged:</w:t>
            </w:r>
            <w:r w:rsidR="004A762A" w:rsidRPr="00A161AC">
              <w:rPr>
                <w:b/>
                <w:sz w:val="20"/>
                <w:szCs w:val="20"/>
              </w:rPr>
              <w:t xml:space="preserve"> </w:t>
            </w:r>
          </w:p>
          <w:p w14:paraId="2BA0A5F7" w14:textId="4DE805E1" w:rsidR="00884B23" w:rsidRPr="00A161AC" w:rsidRDefault="00884B23" w:rsidP="00AB4B85">
            <w:pPr>
              <w:pStyle w:val="ListParagraph"/>
              <w:numPr>
                <w:ilvl w:val="0"/>
                <w:numId w:val="12"/>
              </w:numPr>
              <w:spacing w:after="0"/>
              <w:rPr>
                <w:sz w:val="20"/>
                <w:szCs w:val="20"/>
              </w:rPr>
            </w:pPr>
            <w:r w:rsidRPr="00A161AC">
              <w:rPr>
                <w:b/>
                <w:bCs/>
                <w:sz w:val="20"/>
                <w:szCs w:val="20"/>
              </w:rPr>
              <w:t xml:space="preserve">Duty </w:t>
            </w:r>
            <w:r w:rsidR="00530E79" w:rsidRPr="00A161AC">
              <w:rPr>
                <w:b/>
                <w:bCs/>
                <w:sz w:val="20"/>
                <w:szCs w:val="20"/>
              </w:rPr>
              <w:t xml:space="preserve">as </w:t>
            </w:r>
            <w:r w:rsidRPr="00A161AC">
              <w:rPr>
                <w:b/>
                <w:bCs/>
                <w:sz w:val="20"/>
                <w:szCs w:val="20"/>
              </w:rPr>
              <w:t>to improve</w:t>
            </w:r>
            <w:r w:rsidR="00530E79" w:rsidRPr="00A161AC">
              <w:rPr>
                <w:b/>
                <w:bCs/>
                <w:sz w:val="20"/>
                <w:szCs w:val="20"/>
              </w:rPr>
              <w:t>ment</w:t>
            </w:r>
            <w:r w:rsidRPr="00A161AC">
              <w:rPr>
                <w:b/>
                <w:bCs/>
                <w:sz w:val="20"/>
                <w:szCs w:val="20"/>
              </w:rPr>
              <w:t xml:space="preserve"> </w:t>
            </w:r>
            <w:r w:rsidR="00530E79" w:rsidRPr="00A161AC">
              <w:rPr>
                <w:b/>
                <w:bCs/>
                <w:sz w:val="20"/>
                <w:szCs w:val="20"/>
              </w:rPr>
              <w:t>in</w:t>
            </w:r>
            <w:r w:rsidRPr="00A161AC">
              <w:rPr>
                <w:b/>
                <w:bCs/>
                <w:sz w:val="20"/>
                <w:szCs w:val="20"/>
              </w:rPr>
              <w:t xml:space="preserve"> the quality of services</w:t>
            </w:r>
            <w:r w:rsidR="002C157A" w:rsidRPr="00A161AC">
              <w:rPr>
                <w:b/>
                <w:bCs/>
                <w:sz w:val="20"/>
                <w:szCs w:val="20"/>
              </w:rPr>
              <w:t>.</w:t>
            </w:r>
          </w:p>
        </w:tc>
      </w:tr>
      <w:tr w:rsidR="00884B23" w:rsidRPr="00A161AC" w14:paraId="2BD2838C" w14:textId="77777777" w:rsidTr="0057375A">
        <w:trPr>
          <w:trHeight w:val="1320"/>
        </w:trPr>
        <w:tc>
          <w:tcPr>
            <w:tcW w:w="1845" w:type="dxa"/>
            <w:vMerge/>
          </w:tcPr>
          <w:p w14:paraId="54465F28" w14:textId="77777777" w:rsidR="00884B23" w:rsidRPr="00A161AC" w:rsidRDefault="00884B23" w:rsidP="00FC33C8">
            <w:pPr>
              <w:rPr>
                <w:b/>
                <w:sz w:val="20"/>
                <w:szCs w:val="20"/>
              </w:rPr>
            </w:pPr>
          </w:p>
        </w:tc>
        <w:tc>
          <w:tcPr>
            <w:tcW w:w="1699" w:type="dxa"/>
          </w:tcPr>
          <w:p w14:paraId="2ABD638A" w14:textId="77777777" w:rsidR="00884B23" w:rsidRPr="00A161AC" w:rsidRDefault="00884B23" w:rsidP="00FC33C8">
            <w:pPr>
              <w:rPr>
                <w:b/>
                <w:sz w:val="20"/>
                <w:szCs w:val="20"/>
              </w:rPr>
            </w:pPr>
            <w:r w:rsidRPr="00A161AC">
              <w:rPr>
                <w:b/>
                <w:sz w:val="20"/>
                <w:szCs w:val="20"/>
              </w:rPr>
              <w:t>Improvement</w:t>
            </w:r>
          </w:p>
        </w:tc>
        <w:tc>
          <w:tcPr>
            <w:tcW w:w="6521" w:type="dxa"/>
          </w:tcPr>
          <w:p w14:paraId="3EA06F16" w14:textId="77777777" w:rsidR="00884B23" w:rsidRPr="00A161AC" w:rsidRDefault="00884B23" w:rsidP="00FC33C8">
            <w:pPr>
              <w:spacing w:after="0"/>
              <w:rPr>
                <w:sz w:val="20"/>
                <w:szCs w:val="20"/>
              </w:rPr>
            </w:pPr>
            <w:r w:rsidRPr="00A161AC">
              <w:rPr>
                <w:sz w:val="20"/>
                <w:szCs w:val="20"/>
              </w:rPr>
              <w:t xml:space="preserve">There is an approach to improvement that ensures that all NHS organisations are jointly responsible for improving outcomes across pathways of care, ICBs hold a system wide understanding of the drivers of performance issues and work to enable improvement across the system. </w:t>
            </w:r>
          </w:p>
        </w:tc>
      </w:tr>
      <w:tr w:rsidR="00884B23" w:rsidRPr="00A161AC" w14:paraId="38CE3B22" w14:textId="77777777" w:rsidTr="0057375A">
        <w:trPr>
          <w:cnfStyle w:val="000000100000" w:firstRow="0" w:lastRow="0" w:firstColumn="0" w:lastColumn="0" w:oddVBand="0" w:evenVBand="0" w:oddHBand="1" w:evenHBand="0" w:firstRowFirstColumn="0" w:firstRowLastColumn="0" w:lastRowFirstColumn="0" w:lastRowLastColumn="0"/>
          <w:trHeight w:val="300"/>
        </w:trPr>
        <w:tc>
          <w:tcPr>
            <w:tcW w:w="1845" w:type="dxa"/>
            <w:vMerge/>
          </w:tcPr>
          <w:p w14:paraId="460D628F" w14:textId="77777777" w:rsidR="00884B23" w:rsidRPr="00A161AC" w:rsidRDefault="00884B23" w:rsidP="00FC33C8">
            <w:pPr>
              <w:rPr>
                <w:b/>
                <w:sz w:val="20"/>
                <w:szCs w:val="20"/>
              </w:rPr>
            </w:pPr>
          </w:p>
        </w:tc>
        <w:tc>
          <w:tcPr>
            <w:tcW w:w="1699" w:type="dxa"/>
          </w:tcPr>
          <w:p w14:paraId="0A8AD37B" w14:textId="77777777" w:rsidR="00884B23" w:rsidRPr="00A161AC" w:rsidRDefault="00884B23" w:rsidP="00FC33C8">
            <w:pPr>
              <w:rPr>
                <w:b/>
                <w:sz w:val="20"/>
                <w:szCs w:val="20"/>
              </w:rPr>
            </w:pPr>
            <w:r w:rsidRPr="00A161AC">
              <w:rPr>
                <w:b/>
                <w:sz w:val="20"/>
                <w:szCs w:val="20"/>
              </w:rPr>
              <w:t>Financial management</w:t>
            </w:r>
          </w:p>
        </w:tc>
        <w:tc>
          <w:tcPr>
            <w:tcW w:w="6521" w:type="dxa"/>
          </w:tcPr>
          <w:p w14:paraId="0ADFCCC2" w14:textId="77777777" w:rsidR="00884B23" w:rsidRPr="00A161AC" w:rsidRDefault="00884B23" w:rsidP="00FC33C8">
            <w:pPr>
              <w:rPr>
                <w:sz w:val="20"/>
                <w:szCs w:val="20"/>
              </w:rPr>
            </w:pPr>
            <w:r w:rsidRPr="00A161AC">
              <w:rPr>
                <w:sz w:val="20"/>
                <w:szCs w:val="20"/>
              </w:rPr>
              <w:t>All NHS organisations work to ensure overall system financial balance and do not act to improve their own financial position at the expense of a system partner. ICBs ensure that their annual budget, revenue limits and running cost allowance are not exceeded. They ensure that there is 'grip' across the system by holding partners to account for NHS spending across the system in line with NHSE guidance and actively engage key stakeholders on financial performance and delivery of the shared capital plan, using mutual accountability arrangements.</w:t>
            </w:r>
          </w:p>
          <w:p w14:paraId="4B79B735" w14:textId="77777777" w:rsidR="00AA5BA4" w:rsidRPr="00A161AC" w:rsidRDefault="00884B23" w:rsidP="00AA5BA4">
            <w:pPr>
              <w:spacing w:after="0"/>
              <w:rPr>
                <w:b/>
                <w:bCs/>
                <w:sz w:val="20"/>
                <w:szCs w:val="20"/>
              </w:rPr>
            </w:pPr>
            <w:r w:rsidRPr="00A161AC">
              <w:rPr>
                <w:b/>
                <w:bCs/>
                <w:sz w:val="20"/>
                <w:szCs w:val="20"/>
              </w:rPr>
              <w:t>Including an assessment of how the following relevant duties have been discharged:</w:t>
            </w:r>
            <w:r w:rsidR="004A762A" w:rsidRPr="00A161AC">
              <w:rPr>
                <w:b/>
                <w:bCs/>
                <w:sz w:val="20"/>
                <w:szCs w:val="20"/>
              </w:rPr>
              <w:t xml:space="preserve"> </w:t>
            </w:r>
          </w:p>
          <w:p w14:paraId="46BEF55C" w14:textId="4A76D297" w:rsidR="00884B23" w:rsidRPr="00A161AC" w:rsidRDefault="00884B23" w:rsidP="00AB4B85">
            <w:pPr>
              <w:pStyle w:val="ListParagraph"/>
              <w:numPr>
                <w:ilvl w:val="0"/>
                <w:numId w:val="11"/>
              </w:numPr>
              <w:spacing w:after="0"/>
              <w:rPr>
                <w:sz w:val="20"/>
                <w:szCs w:val="20"/>
              </w:rPr>
            </w:pPr>
            <w:r w:rsidRPr="00A161AC">
              <w:rPr>
                <w:b/>
                <w:sz w:val="20"/>
                <w:szCs w:val="20"/>
              </w:rPr>
              <w:t>Financial duties</w:t>
            </w:r>
          </w:p>
          <w:p w14:paraId="26D79DD2" w14:textId="22EFE54B" w:rsidR="00884B23" w:rsidRPr="00A161AC" w:rsidRDefault="00884B23" w:rsidP="00AB4B85">
            <w:pPr>
              <w:numPr>
                <w:ilvl w:val="0"/>
                <w:numId w:val="11"/>
              </w:numPr>
              <w:spacing w:after="0"/>
              <w:rPr>
                <w:sz w:val="20"/>
                <w:szCs w:val="20"/>
              </w:rPr>
            </w:pPr>
            <w:r w:rsidRPr="00A161AC">
              <w:rPr>
                <w:b/>
                <w:bCs/>
                <w:sz w:val="20"/>
                <w:szCs w:val="20"/>
              </w:rPr>
              <w:t>Duty to operate with effectiveness, efficiency and economy</w:t>
            </w:r>
            <w:r w:rsidR="002C157A" w:rsidRPr="00A161AC">
              <w:rPr>
                <w:b/>
                <w:bCs/>
                <w:sz w:val="20"/>
                <w:szCs w:val="20"/>
              </w:rPr>
              <w:t>.</w:t>
            </w:r>
          </w:p>
        </w:tc>
      </w:tr>
      <w:tr w:rsidR="00884B23" w:rsidRPr="00A161AC" w14:paraId="05CFC128" w14:textId="77777777" w:rsidTr="0057375A">
        <w:trPr>
          <w:trHeight w:val="1290"/>
        </w:trPr>
        <w:tc>
          <w:tcPr>
            <w:tcW w:w="1845" w:type="dxa"/>
            <w:vMerge/>
          </w:tcPr>
          <w:p w14:paraId="5ABF69E2" w14:textId="77777777" w:rsidR="00884B23" w:rsidRPr="00A161AC" w:rsidRDefault="00884B23" w:rsidP="00FC33C8">
            <w:pPr>
              <w:rPr>
                <w:b/>
                <w:sz w:val="20"/>
                <w:szCs w:val="20"/>
              </w:rPr>
            </w:pPr>
          </w:p>
        </w:tc>
        <w:tc>
          <w:tcPr>
            <w:tcW w:w="1699" w:type="dxa"/>
          </w:tcPr>
          <w:p w14:paraId="7C4DD778" w14:textId="77777777" w:rsidR="00884B23" w:rsidRPr="00A161AC" w:rsidRDefault="00884B23" w:rsidP="00FC33C8">
            <w:pPr>
              <w:rPr>
                <w:b/>
                <w:sz w:val="20"/>
                <w:szCs w:val="20"/>
              </w:rPr>
            </w:pPr>
            <w:r w:rsidRPr="00A161AC">
              <w:rPr>
                <w:b/>
                <w:sz w:val="20"/>
                <w:szCs w:val="20"/>
              </w:rPr>
              <w:t>Emergency response</w:t>
            </w:r>
          </w:p>
        </w:tc>
        <w:tc>
          <w:tcPr>
            <w:tcW w:w="6521" w:type="dxa"/>
          </w:tcPr>
          <w:p w14:paraId="515004AA" w14:textId="77777777" w:rsidR="00884B23" w:rsidRPr="00A161AC" w:rsidRDefault="00884B23" w:rsidP="00FC33C8">
            <w:pPr>
              <w:spacing w:after="0"/>
              <w:rPr>
                <w:sz w:val="20"/>
                <w:szCs w:val="20"/>
              </w:rPr>
            </w:pPr>
            <w:r w:rsidRPr="00A161AC">
              <w:rPr>
                <w:sz w:val="20"/>
                <w:szCs w:val="20"/>
              </w:rPr>
              <w:t>There are robust plans in place for emergency planning and response.  ICBs plan for, respond to, and lead recovery from incidents (EPRR), to ensure NHS and partner organisations are joined up at times of greatest need, including incident coordination responsibilities.  </w:t>
            </w:r>
          </w:p>
        </w:tc>
      </w:tr>
      <w:tr w:rsidR="00884B23" w:rsidRPr="00A161AC" w14:paraId="05EF9FB3" w14:textId="77777777" w:rsidTr="0057375A">
        <w:trPr>
          <w:cnfStyle w:val="000000100000" w:firstRow="0" w:lastRow="0" w:firstColumn="0" w:lastColumn="0" w:oddVBand="0" w:evenVBand="0" w:oddHBand="1" w:evenHBand="0" w:firstRowFirstColumn="0" w:firstRowLastColumn="0" w:lastRowFirstColumn="0" w:lastRowLastColumn="0"/>
          <w:trHeight w:val="300"/>
        </w:trPr>
        <w:tc>
          <w:tcPr>
            <w:tcW w:w="1845" w:type="dxa"/>
            <w:vMerge w:val="restart"/>
          </w:tcPr>
          <w:p w14:paraId="0E31D561" w14:textId="77777777" w:rsidR="00884B23" w:rsidRPr="00A161AC" w:rsidRDefault="00884B23" w:rsidP="00FC33C8">
            <w:pPr>
              <w:rPr>
                <w:b/>
                <w:sz w:val="20"/>
                <w:szCs w:val="20"/>
              </w:rPr>
            </w:pPr>
            <w:r w:rsidRPr="00A161AC">
              <w:rPr>
                <w:b/>
                <w:sz w:val="20"/>
                <w:szCs w:val="20"/>
              </w:rPr>
              <w:t>E – Securing transformation and learning</w:t>
            </w:r>
          </w:p>
        </w:tc>
        <w:tc>
          <w:tcPr>
            <w:tcW w:w="1699" w:type="dxa"/>
          </w:tcPr>
          <w:p w14:paraId="28D3A668" w14:textId="77777777" w:rsidR="00884B23" w:rsidRPr="00A161AC" w:rsidRDefault="00884B23" w:rsidP="00FC33C8">
            <w:pPr>
              <w:rPr>
                <w:b/>
                <w:sz w:val="20"/>
                <w:szCs w:val="20"/>
              </w:rPr>
            </w:pPr>
            <w:r w:rsidRPr="00A161AC">
              <w:rPr>
                <w:b/>
                <w:sz w:val="20"/>
                <w:szCs w:val="20"/>
              </w:rPr>
              <w:t>Workforce</w:t>
            </w:r>
          </w:p>
        </w:tc>
        <w:tc>
          <w:tcPr>
            <w:tcW w:w="6521" w:type="dxa"/>
          </w:tcPr>
          <w:p w14:paraId="5AA3B826" w14:textId="77777777" w:rsidR="00884B23" w:rsidRPr="00A161AC" w:rsidRDefault="00884B23" w:rsidP="00FC33C8">
            <w:pPr>
              <w:rPr>
                <w:sz w:val="20"/>
                <w:szCs w:val="20"/>
              </w:rPr>
            </w:pPr>
            <w:r w:rsidRPr="00A161AC">
              <w:rPr>
                <w:sz w:val="20"/>
                <w:szCs w:val="20"/>
              </w:rPr>
              <w:t>There is a system-wide approach to workforce and people planning. ICBs lead the implementation of the NHS Long Term Workforce Plan.</w:t>
            </w:r>
          </w:p>
          <w:p w14:paraId="1FADE78F" w14:textId="77777777" w:rsidR="00AA5BA4" w:rsidRPr="00A161AC" w:rsidRDefault="00884B23" w:rsidP="008934BA">
            <w:pPr>
              <w:spacing w:after="0"/>
              <w:rPr>
                <w:sz w:val="20"/>
                <w:szCs w:val="20"/>
              </w:rPr>
            </w:pPr>
            <w:r w:rsidRPr="00A161AC">
              <w:rPr>
                <w:b/>
                <w:sz w:val="20"/>
                <w:szCs w:val="20"/>
              </w:rPr>
              <w:t xml:space="preserve"> Including an assessment of how the following relevant duties have been discharged:</w:t>
            </w:r>
            <w:r w:rsidR="004A762A" w:rsidRPr="00A161AC">
              <w:rPr>
                <w:b/>
                <w:sz w:val="20"/>
                <w:szCs w:val="20"/>
              </w:rPr>
              <w:t xml:space="preserve"> </w:t>
            </w:r>
          </w:p>
          <w:p w14:paraId="55DC77E0" w14:textId="48F8269B" w:rsidR="00884B23" w:rsidRPr="00A161AC" w:rsidRDefault="00884B23" w:rsidP="00AB4B85">
            <w:pPr>
              <w:pStyle w:val="ListParagraph"/>
              <w:numPr>
                <w:ilvl w:val="0"/>
                <w:numId w:val="12"/>
              </w:numPr>
              <w:spacing w:after="0"/>
              <w:rPr>
                <w:sz w:val="20"/>
                <w:szCs w:val="20"/>
              </w:rPr>
            </w:pPr>
            <w:r w:rsidRPr="00A161AC">
              <w:rPr>
                <w:b/>
                <w:bCs/>
                <w:sz w:val="20"/>
                <w:szCs w:val="20"/>
              </w:rPr>
              <w:t>Duty to promote education and training</w:t>
            </w:r>
            <w:r w:rsidR="008934BA" w:rsidRPr="00A161AC">
              <w:rPr>
                <w:b/>
                <w:bCs/>
                <w:sz w:val="20"/>
                <w:szCs w:val="20"/>
              </w:rPr>
              <w:t>.</w:t>
            </w:r>
          </w:p>
        </w:tc>
      </w:tr>
      <w:tr w:rsidR="00884B23" w:rsidRPr="00A161AC" w14:paraId="2E91F180" w14:textId="77777777" w:rsidTr="00210EC2">
        <w:trPr>
          <w:trHeight w:val="978"/>
        </w:trPr>
        <w:tc>
          <w:tcPr>
            <w:tcW w:w="1845" w:type="dxa"/>
            <w:vMerge/>
          </w:tcPr>
          <w:p w14:paraId="54CE48E7" w14:textId="77777777" w:rsidR="00884B23" w:rsidRPr="00A161AC" w:rsidRDefault="00884B23" w:rsidP="00FC33C8">
            <w:pPr>
              <w:rPr>
                <w:b/>
                <w:sz w:val="20"/>
                <w:szCs w:val="20"/>
              </w:rPr>
            </w:pPr>
          </w:p>
        </w:tc>
        <w:tc>
          <w:tcPr>
            <w:tcW w:w="1699" w:type="dxa"/>
          </w:tcPr>
          <w:p w14:paraId="08CFAC93" w14:textId="77777777" w:rsidR="00884B23" w:rsidRPr="00A161AC" w:rsidRDefault="00884B23" w:rsidP="00FC33C8">
            <w:pPr>
              <w:rPr>
                <w:b/>
                <w:sz w:val="20"/>
                <w:szCs w:val="20"/>
              </w:rPr>
            </w:pPr>
            <w:r w:rsidRPr="00A161AC">
              <w:rPr>
                <w:b/>
                <w:sz w:val="20"/>
                <w:szCs w:val="20"/>
              </w:rPr>
              <w:t>Digital</w:t>
            </w:r>
          </w:p>
        </w:tc>
        <w:tc>
          <w:tcPr>
            <w:tcW w:w="6521" w:type="dxa"/>
          </w:tcPr>
          <w:p w14:paraId="221C3109" w14:textId="77777777" w:rsidR="00884B23" w:rsidRPr="00A161AC" w:rsidRDefault="00884B23" w:rsidP="00FC33C8">
            <w:pPr>
              <w:spacing w:after="0"/>
              <w:rPr>
                <w:sz w:val="20"/>
                <w:szCs w:val="20"/>
              </w:rPr>
            </w:pPr>
            <w:r w:rsidRPr="00A161AC">
              <w:rPr>
                <w:sz w:val="20"/>
                <w:szCs w:val="20"/>
              </w:rPr>
              <w:t>Digital solutions are delivered at scale where appropriate and innovative approaches are tested and spread across systems. ICBs lead system-wide action on digital, working across the partnership to put in place smart digital and data foundations to connect health and care services and ultimately transform care to put the citizen at the centre of their care.</w:t>
            </w:r>
          </w:p>
        </w:tc>
      </w:tr>
      <w:tr w:rsidR="00884B23" w:rsidRPr="00A161AC" w14:paraId="088D9C9B" w14:textId="77777777" w:rsidTr="0057375A">
        <w:trPr>
          <w:cnfStyle w:val="000000100000" w:firstRow="0" w:lastRow="0" w:firstColumn="0" w:lastColumn="0" w:oddVBand="0" w:evenVBand="0" w:oddHBand="1" w:evenHBand="0" w:firstRowFirstColumn="0" w:firstRowLastColumn="0" w:lastRowFirstColumn="0" w:lastRowLastColumn="0"/>
          <w:trHeight w:val="1290"/>
        </w:trPr>
        <w:tc>
          <w:tcPr>
            <w:tcW w:w="1845" w:type="dxa"/>
            <w:vMerge/>
          </w:tcPr>
          <w:p w14:paraId="2FEA7D10" w14:textId="77777777" w:rsidR="00884B23" w:rsidRPr="00A161AC" w:rsidRDefault="00884B23" w:rsidP="00FC33C8">
            <w:pPr>
              <w:spacing w:after="0"/>
              <w:rPr>
                <w:b/>
                <w:sz w:val="20"/>
                <w:szCs w:val="20"/>
              </w:rPr>
            </w:pPr>
          </w:p>
        </w:tc>
        <w:tc>
          <w:tcPr>
            <w:tcW w:w="1699" w:type="dxa"/>
          </w:tcPr>
          <w:p w14:paraId="51CCA62E" w14:textId="77777777" w:rsidR="00884B23" w:rsidRPr="00A161AC" w:rsidRDefault="00884B23" w:rsidP="00FC33C8">
            <w:pPr>
              <w:spacing w:after="0"/>
              <w:rPr>
                <w:b/>
                <w:sz w:val="20"/>
                <w:szCs w:val="20"/>
              </w:rPr>
            </w:pPr>
            <w:r w:rsidRPr="00A161AC">
              <w:rPr>
                <w:b/>
                <w:sz w:val="20"/>
                <w:szCs w:val="20"/>
              </w:rPr>
              <w:t>Data</w:t>
            </w:r>
          </w:p>
        </w:tc>
        <w:tc>
          <w:tcPr>
            <w:tcW w:w="6521" w:type="dxa"/>
          </w:tcPr>
          <w:p w14:paraId="3310049C" w14:textId="77777777" w:rsidR="00884B23" w:rsidRPr="00A161AC" w:rsidRDefault="00884B23" w:rsidP="00FC33C8">
            <w:pPr>
              <w:spacing w:after="0"/>
              <w:rPr>
                <w:sz w:val="20"/>
                <w:szCs w:val="20"/>
              </w:rPr>
            </w:pPr>
            <w:r w:rsidRPr="00A161AC">
              <w:rPr>
                <w:sz w:val="20"/>
                <w:szCs w:val="20"/>
              </w:rPr>
              <w:t xml:space="preserve">Joined-up data and digital capabilities are used to understand local priorities, track delivery of plans, monitor and address variation and drive continuous improvement in performance and outcomes. ICBs ensure there is a system-wide approach to developing analyst capability and capacity. </w:t>
            </w:r>
          </w:p>
        </w:tc>
      </w:tr>
      <w:tr w:rsidR="00884B23" w:rsidRPr="00A161AC" w14:paraId="46ED6B88" w14:textId="77777777" w:rsidTr="0057375A">
        <w:trPr>
          <w:trHeight w:val="300"/>
        </w:trPr>
        <w:tc>
          <w:tcPr>
            <w:tcW w:w="1845" w:type="dxa"/>
            <w:vMerge/>
          </w:tcPr>
          <w:p w14:paraId="3BBDA82C" w14:textId="77777777" w:rsidR="00884B23" w:rsidRPr="00A161AC" w:rsidRDefault="00884B23" w:rsidP="00FC33C8">
            <w:pPr>
              <w:rPr>
                <w:b/>
                <w:sz w:val="20"/>
                <w:szCs w:val="20"/>
              </w:rPr>
            </w:pPr>
          </w:p>
        </w:tc>
        <w:tc>
          <w:tcPr>
            <w:tcW w:w="1699" w:type="dxa"/>
          </w:tcPr>
          <w:p w14:paraId="75E96CDC" w14:textId="77777777" w:rsidR="00884B23" w:rsidRPr="00A161AC" w:rsidRDefault="00884B23" w:rsidP="00FC33C8">
            <w:pPr>
              <w:rPr>
                <w:b/>
                <w:sz w:val="20"/>
                <w:szCs w:val="20"/>
              </w:rPr>
            </w:pPr>
            <w:r w:rsidRPr="00A161AC">
              <w:rPr>
                <w:b/>
                <w:sz w:val="20"/>
                <w:szCs w:val="20"/>
              </w:rPr>
              <w:t>Infrastructure</w:t>
            </w:r>
          </w:p>
        </w:tc>
        <w:tc>
          <w:tcPr>
            <w:tcW w:w="6521" w:type="dxa"/>
          </w:tcPr>
          <w:p w14:paraId="17021BB3" w14:textId="77777777" w:rsidR="00884B23" w:rsidRPr="00A161AC" w:rsidRDefault="00884B23" w:rsidP="00FC33C8">
            <w:pPr>
              <w:spacing w:after="0"/>
              <w:rPr>
                <w:sz w:val="20"/>
                <w:szCs w:val="20"/>
              </w:rPr>
            </w:pPr>
            <w:r w:rsidRPr="00A161AC">
              <w:rPr>
                <w:sz w:val="20"/>
                <w:szCs w:val="20"/>
              </w:rPr>
              <w:t>Driving joint work on estates, procurement, supply chain and commercial strategies to maximise value for money across the system and support the wider goals of development and sustainability.</w:t>
            </w:r>
          </w:p>
        </w:tc>
      </w:tr>
      <w:tr w:rsidR="00884B23" w:rsidRPr="00A161AC" w14:paraId="74920145" w14:textId="77777777" w:rsidTr="0057375A">
        <w:trPr>
          <w:cnfStyle w:val="000000100000" w:firstRow="0" w:lastRow="0" w:firstColumn="0" w:lastColumn="0" w:oddVBand="0" w:evenVBand="0" w:oddHBand="1" w:evenHBand="0" w:firstRowFirstColumn="0" w:firstRowLastColumn="0" w:lastRowFirstColumn="0" w:lastRowLastColumn="0"/>
          <w:trHeight w:val="300"/>
        </w:trPr>
        <w:tc>
          <w:tcPr>
            <w:tcW w:w="1845" w:type="dxa"/>
            <w:vMerge/>
          </w:tcPr>
          <w:p w14:paraId="1D432184" w14:textId="77777777" w:rsidR="00884B23" w:rsidRPr="00A161AC" w:rsidRDefault="00884B23" w:rsidP="00FC33C8">
            <w:pPr>
              <w:rPr>
                <w:b/>
                <w:sz w:val="20"/>
                <w:szCs w:val="20"/>
              </w:rPr>
            </w:pPr>
          </w:p>
        </w:tc>
        <w:tc>
          <w:tcPr>
            <w:tcW w:w="1699" w:type="dxa"/>
          </w:tcPr>
          <w:p w14:paraId="33698804" w14:textId="77777777" w:rsidR="00884B23" w:rsidRPr="00A161AC" w:rsidRDefault="00884B23" w:rsidP="00FC33C8">
            <w:pPr>
              <w:rPr>
                <w:b/>
                <w:sz w:val="20"/>
                <w:szCs w:val="20"/>
              </w:rPr>
            </w:pPr>
            <w:r w:rsidRPr="00A161AC">
              <w:rPr>
                <w:b/>
                <w:sz w:val="20"/>
                <w:szCs w:val="20"/>
              </w:rPr>
              <w:t>Learning</w:t>
            </w:r>
          </w:p>
        </w:tc>
        <w:tc>
          <w:tcPr>
            <w:tcW w:w="6521" w:type="dxa"/>
          </w:tcPr>
          <w:p w14:paraId="7293CABB" w14:textId="77777777" w:rsidR="00884B23" w:rsidRPr="00A161AC" w:rsidRDefault="00884B23" w:rsidP="00FC33C8">
            <w:pPr>
              <w:rPr>
                <w:sz w:val="20"/>
                <w:szCs w:val="20"/>
              </w:rPr>
            </w:pPr>
            <w:r w:rsidRPr="00A161AC">
              <w:rPr>
                <w:sz w:val="20"/>
                <w:szCs w:val="20"/>
              </w:rPr>
              <w:t>The ICB board embeds learning at all levels of the system, including supporting the implementation of NHS IMPACT, and supporting research and innovation. Leaders implement relevant or mandatory quality frameworks, recognised standards, best practices or equivalents to improve equity in experience and outcomes for people using services and tackle known inequalities.</w:t>
            </w:r>
          </w:p>
          <w:p w14:paraId="0EA6648E" w14:textId="77777777" w:rsidR="002671BB" w:rsidRPr="00A161AC" w:rsidRDefault="00884B23" w:rsidP="008934BA">
            <w:pPr>
              <w:spacing w:after="0"/>
              <w:rPr>
                <w:sz w:val="20"/>
                <w:szCs w:val="20"/>
              </w:rPr>
            </w:pPr>
            <w:r w:rsidRPr="00A161AC">
              <w:rPr>
                <w:b/>
                <w:bCs/>
                <w:sz w:val="20"/>
                <w:szCs w:val="20"/>
              </w:rPr>
              <w:t xml:space="preserve"> Including an assessment of how the following relevant duties have been discharged:</w:t>
            </w:r>
            <w:r w:rsidR="004A762A" w:rsidRPr="00A161AC">
              <w:rPr>
                <w:b/>
                <w:bCs/>
                <w:sz w:val="20"/>
                <w:szCs w:val="20"/>
              </w:rPr>
              <w:t xml:space="preserve"> </w:t>
            </w:r>
          </w:p>
          <w:p w14:paraId="2AD55A80" w14:textId="5EAFBD37" w:rsidR="00884B23" w:rsidRPr="00A161AC" w:rsidRDefault="00884B23" w:rsidP="00AB4B85">
            <w:pPr>
              <w:numPr>
                <w:ilvl w:val="0"/>
                <w:numId w:val="14"/>
              </w:numPr>
              <w:spacing w:after="0"/>
              <w:rPr>
                <w:sz w:val="20"/>
                <w:szCs w:val="20"/>
              </w:rPr>
            </w:pPr>
            <w:r w:rsidRPr="00A161AC">
              <w:rPr>
                <w:b/>
                <w:bCs/>
                <w:sz w:val="20"/>
                <w:szCs w:val="20"/>
              </w:rPr>
              <w:t xml:space="preserve">Duty </w:t>
            </w:r>
            <w:r w:rsidR="00530E79" w:rsidRPr="00A161AC">
              <w:rPr>
                <w:b/>
                <w:bCs/>
                <w:sz w:val="20"/>
                <w:szCs w:val="20"/>
              </w:rPr>
              <w:t xml:space="preserve">as </w:t>
            </w:r>
            <w:r w:rsidRPr="00A161AC">
              <w:rPr>
                <w:b/>
                <w:bCs/>
                <w:sz w:val="20"/>
                <w:szCs w:val="20"/>
              </w:rPr>
              <w:t>to reduc</w:t>
            </w:r>
            <w:r w:rsidR="00530E79" w:rsidRPr="00A161AC">
              <w:rPr>
                <w:b/>
                <w:bCs/>
                <w:sz w:val="20"/>
                <w:szCs w:val="20"/>
              </w:rPr>
              <w:t>ing</w:t>
            </w:r>
            <w:r w:rsidRPr="00A161AC">
              <w:rPr>
                <w:b/>
                <w:bCs/>
                <w:sz w:val="20"/>
                <w:szCs w:val="20"/>
              </w:rPr>
              <w:t xml:space="preserve"> inequality of access and outcome</w:t>
            </w:r>
          </w:p>
          <w:p w14:paraId="55FDAFFF" w14:textId="77777777" w:rsidR="00884B23" w:rsidRPr="00A161AC" w:rsidRDefault="00884B23" w:rsidP="00AB4B85">
            <w:pPr>
              <w:numPr>
                <w:ilvl w:val="0"/>
                <w:numId w:val="14"/>
              </w:numPr>
              <w:spacing w:after="0"/>
              <w:rPr>
                <w:sz w:val="20"/>
                <w:szCs w:val="20"/>
              </w:rPr>
            </w:pPr>
            <w:r w:rsidRPr="00A161AC">
              <w:rPr>
                <w:b/>
                <w:bCs/>
                <w:sz w:val="20"/>
                <w:szCs w:val="20"/>
              </w:rPr>
              <w:t>Duty to facilitate, promote and use research</w:t>
            </w:r>
          </w:p>
          <w:p w14:paraId="0055BF21" w14:textId="12BDAC57" w:rsidR="00884B23" w:rsidRPr="00A161AC" w:rsidRDefault="00884B23" w:rsidP="00AB4B85">
            <w:pPr>
              <w:numPr>
                <w:ilvl w:val="0"/>
                <w:numId w:val="14"/>
              </w:numPr>
              <w:spacing w:after="0"/>
              <w:rPr>
                <w:sz w:val="20"/>
                <w:szCs w:val="20"/>
              </w:rPr>
            </w:pPr>
            <w:r w:rsidRPr="00A161AC">
              <w:rPr>
                <w:b/>
                <w:bCs/>
                <w:sz w:val="20"/>
                <w:szCs w:val="20"/>
              </w:rPr>
              <w:t>Duty to promote innovation</w:t>
            </w:r>
            <w:r w:rsidR="008934BA" w:rsidRPr="00A161AC">
              <w:rPr>
                <w:b/>
                <w:bCs/>
                <w:sz w:val="20"/>
                <w:szCs w:val="20"/>
              </w:rPr>
              <w:t>.</w:t>
            </w:r>
          </w:p>
        </w:tc>
      </w:tr>
      <w:tr w:rsidR="00884B23" w:rsidRPr="00A161AC" w14:paraId="518A3F16" w14:textId="77777777" w:rsidTr="0057375A">
        <w:trPr>
          <w:trHeight w:val="300"/>
        </w:trPr>
        <w:tc>
          <w:tcPr>
            <w:tcW w:w="1845" w:type="dxa"/>
            <w:vMerge w:val="restart"/>
          </w:tcPr>
          <w:p w14:paraId="20479B52" w14:textId="77777777" w:rsidR="00884B23" w:rsidRPr="00A161AC" w:rsidRDefault="00884B23" w:rsidP="00FC33C8">
            <w:pPr>
              <w:rPr>
                <w:b/>
                <w:sz w:val="20"/>
                <w:szCs w:val="20"/>
              </w:rPr>
            </w:pPr>
            <w:r w:rsidRPr="00A161AC">
              <w:rPr>
                <w:b/>
                <w:sz w:val="20"/>
                <w:szCs w:val="20"/>
              </w:rPr>
              <w:t>F – Effective governance and people</w:t>
            </w:r>
          </w:p>
        </w:tc>
        <w:tc>
          <w:tcPr>
            <w:tcW w:w="1699" w:type="dxa"/>
          </w:tcPr>
          <w:p w14:paraId="761E6630" w14:textId="77777777" w:rsidR="00884B23" w:rsidRPr="00A161AC" w:rsidRDefault="00884B23" w:rsidP="00FC33C8">
            <w:pPr>
              <w:rPr>
                <w:b/>
                <w:sz w:val="20"/>
                <w:szCs w:val="20"/>
              </w:rPr>
            </w:pPr>
            <w:r w:rsidRPr="00A161AC">
              <w:rPr>
                <w:b/>
                <w:bCs/>
                <w:sz w:val="20"/>
                <w:szCs w:val="20"/>
              </w:rPr>
              <w:t>Risk management</w:t>
            </w:r>
          </w:p>
        </w:tc>
        <w:tc>
          <w:tcPr>
            <w:tcW w:w="6521" w:type="dxa"/>
          </w:tcPr>
          <w:p w14:paraId="074331A2" w14:textId="4AEA6864" w:rsidR="00884B23" w:rsidRPr="00A161AC" w:rsidRDefault="00884B23" w:rsidP="00FC33C8">
            <w:pPr>
              <w:rPr>
                <w:sz w:val="20"/>
                <w:szCs w:val="20"/>
              </w:rPr>
            </w:pPr>
            <w:r w:rsidRPr="00A161AC">
              <w:rPr>
                <w:sz w:val="20"/>
                <w:szCs w:val="20"/>
              </w:rPr>
              <w:t xml:space="preserve">The ICB uses board assurance frameworks and other tools to identify and manage risks to ICB delivery. They ensure system-wide risk management arrangements are also in place (in particular addressing quality) to address shared risks. </w:t>
            </w:r>
          </w:p>
          <w:p w14:paraId="0A494BB0" w14:textId="77777777" w:rsidR="00884B23" w:rsidRPr="00A161AC" w:rsidRDefault="003D0EC8" w:rsidP="003D0EC8">
            <w:pPr>
              <w:spacing w:after="0"/>
              <w:rPr>
                <w:b/>
                <w:bCs/>
                <w:sz w:val="20"/>
                <w:szCs w:val="20"/>
              </w:rPr>
            </w:pPr>
            <w:r w:rsidRPr="00A161AC">
              <w:rPr>
                <w:b/>
                <w:bCs/>
                <w:sz w:val="20"/>
                <w:szCs w:val="20"/>
              </w:rPr>
              <w:t>Including an assessment of how the following relevant duties have been discharged:</w:t>
            </w:r>
          </w:p>
          <w:p w14:paraId="37D3C06F" w14:textId="7C384B77" w:rsidR="00884B23" w:rsidRPr="00A161AC" w:rsidRDefault="003D0EC8" w:rsidP="00AB4B85">
            <w:pPr>
              <w:pStyle w:val="ListParagraph"/>
              <w:numPr>
                <w:ilvl w:val="0"/>
                <w:numId w:val="12"/>
              </w:numPr>
              <w:spacing w:after="0"/>
              <w:rPr>
                <w:b/>
                <w:sz w:val="20"/>
                <w:szCs w:val="20"/>
              </w:rPr>
            </w:pPr>
            <w:r w:rsidRPr="00A161AC">
              <w:rPr>
                <w:b/>
                <w:bCs/>
                <w:sz w:val="20"/>
                <w:szCs w:val="20"/>
              </w:rPr>
              <w:t xml:space="preserve">Duty </w:t>
            </w:r>
            <w:r w:rsidR="00530E79" w:rsidRPr="00A161AC">
              <w:rPr>
                <w:b/>
                <w:bCs/>
                <w:sz w:val="20"/>
                <w:szCs w:val="20"/>
              </w:rPr>
              <w:t xml:space="preserve">as </w:t>
            </w:r>
            <w:r w:rsidRPr="00A161AC">
              <w:rPr>
                <w:b/>
                <w:bCs/>
                <w:sz w:val="20"/>
                <w:szCs w:val="20"/>
              </w:rPr>
              <w:t xml:space="preserve">to </w:t>
            </w:r>
            <w:r w:rsidR="00530E79" w:rsidRPr="00A161AC">
              <w:rPr>
                <w:b/>
                <w:bCs/>
                <w:sz w:val="20"/>
                <w:szCs w:val="20"/>
              </w:rPr>
              <w:t>the</w:t>
            </w:r>
            <w:r w:rsidRPr="00A161AC">
              <w:rPr>
                <w:b/>
                <w:bCs/>
                <w:sz w:val="20"/>
                <w:szCs w:val="20"/>
              </w:rPr>
              <w:t xml:space="preserve"> improve</w:t>
            </w:r>
            <w:r w:rsidR="00530E79" w:rsidRPr="00A161AC">
              <w:rPr>
                <w:b/>
                <w:bCs/>
                <w:sz w:val="20"/>
                <w:szCs w:val="20"/>
              </w:rPr>
              <w:t>ment in</w:t>
            </w:r>
            <w:r w:rsidRPr="00A161AC">
              <w:rPr>
                <w:b/>
                <w:bCs/>
                <w:sz w:val="20"/>
                <w:szCs w:val="20"/>
              </w:rPr>
              <w:t xml:space="preserve"> the quality of services.</w:t>
            </w:r>
          </w:p>
        </w:tc>
      </w:tr>
      <w:tr w:rsidR="00884B23" w:rsidRPr="00A161AC" w14:paraId="74A7912E" w14:textId="77777777" w:rsidTr="0057375A">
        <w:trPr>
          <w:cnfStyle w:val="000000100000" w:firstRow="0" w:lastRow="0" w:firstColumn="0" w:lastColumn="0" w:oddVBand="0" w:evenVBand="0" w:oddHBand="1" w:evenHBand="0" w:firstRowFirstColumn="0" w:firstRowLastColumn="0" w:lastRowFirstColumn="0" w:lastRowLastColumn="0"/>
          <w:trHeight w:val="300"/>
        </w:trPr>
        <w:tc>
          <w:tcPr>
            <w:tcW w:w="1845" w:type="dxa"/>
            <w:vMerge/>
          </w:tcPr>
          <w:p w14:paraId="3FA303E3" w14:textId="77777777" w:rsidR="00884B23" w:rsidRPr="00A161AC" w:rsidRDefault="00884B23" w:rsidP="00FC33C8">
            <w:pPr>
              <w:rPr>
                <w:b/>
                <w:sz w:val="20"/>
                <w:szCs w:val="20"/>
              </w:rPr>
            </w:pPr>
          </w:p>
        </w:tc>
        <w:tc>
          <w:tcPr>
            <w:tcW w:w="1699" w:type="dxa"/>
          </w:tcPr>
          <w:p w14:paraId="6BD8ED95" w14:textId="77777777" w:rsidR="00884B23" w:rsidRPr="00A161AC" w:rsidRDefault="00884B23" w:rsidP="00FC33C8">
            <w:pPr>
              <w:rPr>
                <w:b/>
                <w:sz w:val="20"/>
                <w:szCs w:val="20"/>
              </w:rPr>
            </w:pPr>
            <w:r w:rsidRPr="00A161AC">
              <w:rPr>
                <w:b/>
                <w:bCs/>
                <w:sz w:val="20"/>
                <w:szCs w:val="20"/>
              </w:rPr>
              <w:t>Board capability</w:t>
            </w:r>
          </w:p>
        </w:tc>
        <w:tc>
          <w:tcPr>
            <w:tcW w:w="6521" w:type="dxa"/>
          </w:tcPr>
          <w:p w14:paraId="7C1F7053" w14:textId="77777777" w:rsidR="00884B23" w:rsidRPr="00A161AC" w:rsidRDefault="00884B23" w:rsidP="00FC33C8">
            <w:pPr>
              <w:rPr>
                <w:sz w:val="20"/>
                <w:szCs w:val="20"/>
              </w:rPr>
            </w:pPr>
            <w:r w:rsidRPr="00A161AC">
              <w:rPr>
                <w:sz w:val="20"/>
                <w:szCs w:val="20"/>
              </w:rPr>
              <w:t xml:space="preserve">ICB CEO and Chair to ensure that the ICB board has the skills and capability to lead the system. High-quality leadership is sustained through safe, effective and inclusive recruitment and succession planning. </w:t>
            </w:r>
          </w:p>
          <w:p w14:paraId="0980226B" w14:textId="77777777" w:rsidR="00210EC2" w:rsidRPr="00A161AC" w:rsidRDefault="003D0EC8" w:rsidP="00210EC2">
            <w:pPr>
              <w:spacing w:after="0"/>
              <w:rPr>
                <w:b/>
                <w:bCs/>
                <w:sz w:val="20"/>
                <w:szCs w:val="20"/>
              </w:rPr>
            </w:pPr>
            <w:r w:rsidRPr="00A161AC">
              <w:rPr>
                <w:b/>
                <w:bCs/>
                <w:sz w:val="20"/>
                <w:szCs w:val="20"/>
              </w:rPr>
              <w:t>Including an assessment of how the following relevant duties have been discharge</w:t>
            </w:r>
            <w:r w:rsidR="002C157A" w:rsidRPr="00A161AC">
              <w:rPr>
                <w:b/>
                <w:bCs/>
                <w:sz w:val="20"/>
                <w:szCs w:val="20"/>
              </w:rPr>
              <w:t xml:space="preserve">d: </w:t>
            </w:r>
          </w:p>
          <w:p w14:paraId="5D252274" w14:textId="452076F3" w:rsidR="00884B23" w:rsidRPr="00A161AC" w:rsidRDefault="009D3F26" w:rsidP="00AB4B85">
            <w:pPr>
              <w:pStyle w:val="ListParagraph"/>
              <w:numPr>
                <w:ilvl w:val="0"/>
                <w:numId w:val="15"/>
              </w:numPr>
              <w:spacing w:after="0"/>
              <w:rPr>
                <w:b/>
                <w:sz w:val="20"/>
                <w:szCs w:val="20"/>
              </w:rPr>
            </w:pPr>
            <w:r w:rsidRPr="00A161AC">
              <w:rPr>
                <w:b/>
                <w:bCs/>
                <w:sz w:val="20"/>
                <w:szCs w:val="20"/>
              </w:rPr>
              <w:t>Duty to keep experience of members under review.</w:t>
            </w:r>
          </w:p>
        </w:tc>
      </w:tr>
      <w:tr w:rsidR="00884B23" w:rsidRPr="00A161AC" w14:paraId="074808C6" w14:textId="77777777" w:rsidTr="0057375A">
        <w:trPr>
          <w:trHeight w:val="300"/>
        </w:trPr>
        <w:tc>
          <w:tcPr>
            <w:tcW w:w="1845" w:type="dxa"/>
            <w:vMerge/>
          </w:tcPr>
          <w:p w14:paraId="5B799822" w14:textId="77777777" w:rsidR="00884B23" w:rsidRPr="00A161AC" w:rsidRDefault="00884B23" w:rsidP="00FC33C8">
            <w:pPr>
              <w:rPr>
                <w:b/>
                <w:sz w:val="20"/>
                <w:szCs w:val="20"/>
              </w:rPr>
            </w:pPr>
          </w:p>
        </w:tc>
        <w:tc>
          <w:tcPr>
            <w:tcW w:w="1699" w:type="dxa"/>
          </w:tcPr>
          <w:p w14:paraId="62CE2518" w14:textId="77777777" w:rsidR="00884B23" w:rsidRPr="00A161AC" w:rsidRDefault="00884B23" w:rsidP="00FC33C8">
            <w:pPr>
              <w:rPr>
                <w:b/>
                <w:sz w:val="20"/>
                <w:szCs w:val="20"/>
              </w:rPr>
            </w:pPr>
            <w:r w:rsidRPr="00A161AC">
              <w:rPr>
                <w:b/>
                <w:bCs/>
                <w:sz w:val="20"/>
                <w:szCs w:val="20"/>
              </w:rPr>
              <w:t>Effective decision making</w:t>
            </w:r>
          </w:p>
        </w:tc>
        <w:tc>
          <w:tcPr>
            <w:tcW w:w="6521" w:type="dxa"/>
          </w:tcPr>
          <w:p w14:paraId="1971F445" w14:textId="77777777" w:rsidR="00884B23" w:rsidRPr="00A161AC" w:rsidRDefault="00884B23" w:rsidP="00FC33C8">
            <w:pPr>
              <w:rPr>
                <w:sz w:val="20"/>
                <w:szCs w:val="20"/>
              </w:rPr>
            </w:pPr>
            <w:r w:rsidRPr="00A161AC">
              <w:rPr>
                <w:sz w:val="20"/>
                <w:szCs w:val="20"/>
              </w:rPr>
              <w:t>The ICB board uses timely, robust and relevant information on organisational performance across the system, and divides its time evenly between in-year and strategic discussions.</w:t>
            </w:r>
          </w:p>
          <w:p w14:paraId="4807A0D3" w14:textId="77777777" w:rsidR="00884B23" w:rsidRPr="00A161AC" w:rsidRDefault="0085550C" w:rsidP="0085550C">
            <w:pPr>
              <w:spacing w:after="0"/>
              <w:rPr>
                <w:b/>
                <w:bCs/>
                <w:sz w:val="20"/>
                <w:szCs w:val="20"/>
              </w:rPr>
            </w:pPr>
            <w:r w:rsidRPr="00A161AC">
              <w:rPr>
                <w:b/>
                <w:bCs/>
                <w:sz w:val="20"/>
                <w:szCs w:val="20"/>
              </w:rPr>
              <w:t>Including an assessment of how the following relevant duties have been discharged:</w:t>
            </w:r>
          </w:p>
          <w:p w14:paraId="2365F50D" w14:textId="77777777" w:rsidR="0085550C" w:rsidRPr="00A161AC" w:rsidRDefault="004910D2" w:rsidP="00AB4B85">
            <w:pPr>
              <w:pStyle w:val="ListParagraph"/>
              <w:numPr>
                <w:ilvl w:val="0"/>
                <w:numId w:val="12"/>
              </w:numPr>
              <w:spacing w:after="0"/>
              <w:rPr>
                <w:b/>
                <w:bCs/>
                <w:sz w:val="20"/>
                <w:szCs w:val="20"/>
              </w:rPr>
            </w:pPr>
            <w:r w:rsidRPr="00A161AC">
              <w:rPr>
                <w:b/>
                <w:bCs/>
                <w:sz w:val="20"/>
                <w:szCs w:val="20"/>
              </w:rPr>
              <w:t>Duty to take appropriate advice</w:t>
            </w:r>
          </w:p>
          <w:p w14:paraId="375708F0" w14:textId="60805227" w:rsidR="004910D2" w:rsidRPr="00A161AC" w:rsidRDefault="004910D2" w:rsidP="00AB4B85">
            <w:pPr>
              <w:pStyle w:val="ListParagraph"/>
              <w:numPr>
                <w:ilvl w:val="0"/>
                <w:numId w:val="12"/>
              </w:numPr>
              <w:spacing w:after="0"/>
              <w:rPr>
                <w:b/>
                <w:bCs/>
                <w:sz w:val="20"/>
                <w:szCs w:val="20"/>
              </w:rPr>
            </w:pPr>
            <w:r w:rsidRPr="00A161AC">
              <w:rPr>
                <w:b/>
                <w:bCs/>
                <w:sz w:val="20"/>
                <w:szCs w:val="20"/>
              </w:rPr>
              <w:t xml:space="preserve">Duty to have due regard to the </w:t>
            </w:r>
            <w:r w:rsidR="00530E79" w:rsidRPr="00A161AC">
              <w:rPr>
                <w:b/>
                <w:bCs/>
                <w:sz w:val="20"/>
                <w:szCs w:val="20"/>
              </w:rPr>
              <w:t>wider</w:t>
            </w:r>
            <w:r w:rsidRPr="00A161AC">
              <w:rPr>
                <w:b/>
                <w:bCs/>
                <w:sz w:val="20"/>
                <w:szCs w:val="20"/>
              </w:rPr>
              <w:t xml:space="preserve"> effect of decisions (the triple aim)</w:t>
            </w:r>
          </w:p>
          <w:p w14:paraId="43B4B9C8" w14:textId="20061FC0" w:rsidR="00884B23" w:rsidRPr="00A161AC" w:rsidRDefault="00530E79" w:rsidP="00AB4B85">
            <w:pPr>
              <w:pStyle w:val="ListParagraph"/>
              <w:numPr>
                <w:ilvl w:val="0"/>
                <w:numId w:val="12"/>
              </w:numPr>
              <w:spacing w:after="0"/>
              <w:rPr>
                <w:b/>
                <w:sz w:val="20"/>
                <w:szCs w:val="20"/>
              </w:rPr>
            </w:pPr>
            <w:r w:rsidRPr="00A161AC">
              <w:rPr>
                <w:b/>
                <w:bCs/>
                <w:sz w:val="20"/>
                <w:szCs w:val="20"/>
              </w:rPr>
              <w:t>Duty to involve patients, carers and the public in decisions about the planning, development and operation of services commissioned and provided</w:t>
            </w:r>
          </w:p>
        </w:tc>
      </w:tr>
      <w:tr w:rsidR="00884B23" w:rsidRPr="00A161AC" w14:paraId="153A9366" w14:textId="77777777" w:rsidTr="0057375A">
        <w:trPr>
          <w:cnfStyle w:val="000000100000" w:firstRow="0" w:lastRow="0" w:firstColumn="0" w:lastColumn="0" w:oddVBand="0" w:evenVBand="0" w:oddHBand="1" w:evenHBand="0" w:firstRowFirstColumn="0" w:firstRowLastColumn="0" w:lastRowFirstColumn="0" w:lastRowLastColumn="0"/>
          <w:trHeight w:val="846"/>
        </w:trPr>
        <w:tc>
          <w:tcPr>
            <w:tcW w:w="1845" w:type="dxa"/>
            <w:vMerge/>
          </w:tcPr>
          <w:p w14:paraId="7185429B" w14:textId="77777777" w:rsidR="00884B23" w:rsidRPr="00A161AC" w:rsidRDefault="00884B23" w:rsidP="00FC33C8">
            <w:pPr>
              <w:rPr>
                <w:sz w:val="20"/>
                <w:szCs w:val="20"/>
              </w:rPr>
            </w:pPr>
          </w:p>
        </w:tc>
        <w:tc>
          <w:tcPr>
            <w:tcW w:w="1699" w:type="dxa"/>
          </w:tcPr>
          <w:p w14:paraId="20593ABB" w14:textId="77777777" w:rsidR="00884B23" w:rsidRPr="00A161AC" w:rsidRDefault="00884B23" w:rsidP="00FC33C8">
            <w:pPr>
              <w:rPr>
                <w:b/>
                <w:bCs/>
                <w:sz w:val="20"/>
                <w:szCs w:val="20"/>
              </w:rPr>
            </w:pPr>
            <w:r w:rsidRPr="00A161AC">
              <w:rPr>
                <w:b/>
                <w:bCs/>
                <w:sz w:val="20"/>
                <w:szCs w:val="20"/>
              </w:rPr>
              <w:t>Healthy culture</w:t>
            </w:r>
          </w:p>
        </w:tc>
        <w:tc>
          <w:tcPr>
            <w:tcW w:w="6521" w:type="dxa"/>
          </w:tcPr>
          <w:p w14:paraId="1A2EECAE" w14:textId="77777777" w:rsidR="00884B23" w:rsidRPr="00A161AC" w:rsidRDefault="00884B23" w:rsidP="00FC33C8">
            <w:pPr>
              <w:spacing w:after="0"/>
              <w:rPr>
                <w:sz w:val="20"/>
                <w:szCs w:val="20"/>
              </w:rPr>
            </w:pPr>
            <w:r w:rsidRPr="00A161AC">
              <w:rPr>
                <w:sz w:val="20"/>
                <w:szCs w:val="20"/>
              </w:rPr>
              <w:t>The ICB board demonstrates positive behaviours that promote an open, safe and compassionate culture within the organisation that allows individuals to speak up as necessary and ensures that the ICB reflects the diversity of its population.</w:t>
            </w:r>
          </w:p>
        </w:tc>
      </w:tr>
    </w:tbl>
    <w:p w14:paraId="3CC81148" w14:textId="6B569AA2" w:rsidR="002C65BB" w:rsidRPr="00A161AC" w:rsidRDefault="002C65BB" w:rsidP="009C74EA">
      <w:pPr>
        <w:pStyle w:val="Numberedlist"/>
        <w:numPr>
          <w:ilvl w:val="0"/>
          <w:numId w:val="0"/>
        </w:numPr>
      </w:pPr>
    </w:p>
    <w:p w14:paraId="74772725" w14:textId="77777777" w:rsidR="002C65BB" w:rsidRPr="00A161AC" w:rsidRDefault="002C65BB">
      <w:pPr>
        <w:spacing w:after="0" w:line="240" w:lineRule="auto"/>
        <w:textboxTightWrap w:val="none"/>
      </w:pPr>
      <w:r w:rsidRPr="00A161AC">
        <w:br w:type="page"/>
      </w:r>
    </w:p>
    <w:p w14:paraId="27E2F327" w14:textId="13BBB398" w:rsidR="00263EAD" w:rsidRPr="00A161AC" w:rsidRDefault="002C65BB" w:rsidP="00263EAD">
      <w:pPr>
        <w:pStyle w:val="Heading2"/>
        <w:spacing w:line="259" w:lineRule="auto"/>
        <w:rPr>
          <w:rFonts w:eastAsia="MS Mincho" w:hint="eastAsia"/>
        </w:rPr>
      </w:pPr>
      <w:bookmarkStart w:id="28" w:name="_Toc163574932"/>
      <w:r w:rsidRPr="00A161AC">
        <w:rPr>
          <w:rFonts w:eastAsia="MS Mincho"/>
        </w:rPr>
        <w:lastRenderedPageBreak/>
        <w:t xml:space="preserve">Annex </w:t>
      </w:r>
      <w:r w:rsidR="00741255" w:rsidRPr="00A161AC">
        <w:rPr>
          <w:rFonts w:eastAsia="MS Mincho"/>
        </w:rPr>
        <w:t>B</w:t>
      </w:r>
      <w:r w:rsidRPr="00A161AC">
        <w:rPr>
          <w:rFonts w:eastAsia="MS Mincho"/>
        </w:rPr>
        <w:t>: Proposed annual self-certifications for providers</w:t>
      </w:r>
      <w:bookmarkEnd w:id="28"/>
    </w:p>
    <w:p w14:paraId="3E0545E1" w14:textId="3DB59577" w:rsidR="0030767C" w:rsidRPr="00A161AC" w:rsidRDefault="0030767C" w:rsidP="00263EAD">
      <w:pPr>
        <w:spacing w:after="0" w:line="240" w:lineRule="auto"/>
        <w:textboxTightWrap w:val="none"/>
      </w:pPr>
    </w:p>
    <w:tbl>
      <w:tblPr>
        <w:tblStyle w:val="TableGrid5"/>
        <w:tblW w:w="0" w:type="auto"/>
        <w:tblLook w:val="04A0" w:firstRow="1" w:lastRow="0" w:firstColumn="1" w:lastColumn="0" w:noHBand="0" w:noVBand="1"/>
      </w:tblPr>
      <w:tblGrid>
        <w:gridCol w:w="9498"/>
      </w:tblGrid>
      <w:tr w:rsidR="00323560" w:rsidRPr="00A161AC" w14:paraId="324CE396" w14:textId="77777777" w:rsidTr="00323560">
        <w:trPr>
          <w:trHeight w:val="275"/>
        </w:trPr>
        <w:tc>
          <w:tcPr>
            <w:tcW w:w="9498" w:type="dxa"/>
            <w:tcBorders>
              <w:top w:val="nil"/>
              <w:left w:val="nil"/>
              <w:bottom w:val="single" w:sz="12" w:space="0" w:color="auto"/>
              <w:right w:val="nil"/>
            </w:tcBorders>
          </w:tcPr>
          <w:p w14:paraId="3EB49F37" w14:textId="77777777" w:rsidR="00323560" w:rsidRPr="00A161AC" w:rsidRDefault="00323560" w:rsidP="00323560">
            <w:pPr>
              <w:spacing w:after="0" w:line="240" w:lineRule="auto"/>
              <w:textboxTightWrap w:val="none"/>
              <w:rPr>
                <w:rFonts w:cs="Arial"/>
                <w:b/>
                <w:bCs/>
                <w:color w:val="auto"/>
                <w:sz w:val="22"/>
                <w:szCs w:val="22"/>
                <w:lang w:bidi="en-US"/>
              </w:rPr>
            </w:pPr>
            <w:r w:rsidRPr="00A161AC">
              <w:rPr>
                <w:rFonts w:eastAsia="Arial" w:cs="Arial"/>
                <w:b/>
                <w:bCs/>
                <w:color w:val="auto"/>
                <w:sz w:val="22"/>
                <w:szCs w:val="22"/>
                <w:lang w:bidi="en-US"/>
              </w:rPr>
              <w:t>The Board confirms that</w:t>
            </w:r>
            <w:r w:rsidRPr="00A161AC">
              <w:rPr>
                <w:rFonts w:cs="Arial"/>
                <w:b/>
                <w:bCs/>
                <w:color w:val="auto"/>
                <w:sz w:val="22"/>
                <w:szCs w:val="22"/>
                <w:lang w:bidi="en-US"/>
              </w:rPr>
              <w:t>:</w:t>
            </w:r>
          </w:p>
        </w:tc>
      </w:tr>
      <w:tr w:rsidR="00323560" w:rsidRPr="00A161AC" w14:paraId="5495CAF7" w14:textId="77777777" w:rsidTr="00A161AC">
        <w:trPr>
          <w:trHeight w:val="257"/>
        </w:trPr>
        <w:tc>
          <w:tcPr>
            <w:tcW w:w="9498" w:type="dxa"/>
            <w:tcBorders>
              <w:top w:val="single" w:sz="12" w:space="0" w:color="auto"/>
              <w:left w:val="single" w:sz="12" w:space="0" w:color="auto"/>
              <w:bottom w:val="single" w:sz="12" w:space="0" w:color="auto"/>
              <w:right w:val="single" w:sz="12" w:space="0" w:color="auto"/>
            </w:tcBorders>
            <w:shd w:val="clear" w:color="auto" w:fill="003087" w:themeFill="accent1"/>
          </w:tcPr>
          <w:p w14:paraId="4AC3CCD4" w14:textId="77777777" w:rsidR="00323560" w:rsidRPr="00A161AC" w:rsidRDefault="00323560" w:rsidP="00323560">
            <w:pPr>
              <w:spacing w:after="0" w:line="240" w:lineRule="auto"/>
              <w:textboxTightWrap w:val="none"/>
              <w:rPr>
                <w:rFonts w:ascii="Calibri" w:hAnsi="Calibri"/>
                <w:color w:val="auto"/>
                <w:sz w:val="22"/>
                <w:szCs w:val="22"/>
              </w:rPr>
            </w:pPr>
            <w:r w:rsidRPr="00A161AC">
              <w:rPr>
                <w:rFonts w:cs="Arial"/>
                <w:b/>
                <w:bCs/>
                <w:color w:val="auto"/>
                <w:sz w:val="22"/>
                <w:szCs w:val="22"/>
                <w:lang w:bidi="en-US"/>
              </w:rPr>
              <w:t>Strategy</w:t>
            </w:r>
          </w:p>
        </w:tc>
      </w:tr>
      <w:tr w:rsidR="00323560" w:rsidRPr="00A161AC" w14:paraId="4EB4D8D3" w14:textId="77777777" w:rsidTr="00323560">
        <w:trPr>
          <w:trHeight w:val="1770"/>
        </w:trPr>
        <w:tc>
          <w:tcPr>
            <w:tcW w:w="9498" w:type="dxa"/>
            <w:tcBorders>
              <w:top w:val="single" w:sz="12" w:space="0" w:color="auto"/>
              <w:bottom w:val="single" w:sz="12" w:space="0" w:color="auto"/>
            </w:tcBorders>
          </w:tcPr>
          <w:p w14:paraId="1198396E" w14:textId="77777777" w:rsidR="00323560" w:rsidRPr="00A161AC" w:rsidRDefault="00323560" w:rsidP="00A161AC">
            <w:pPr>
              <w:numPr>
                <w:ilvl w:val="0"/>
                <w:numId w:val="39"/>
              </w:numPr>
              <w:spacing w:after="0" w:line="240" w:lineRule="auto"/>
              <w:ind w:left="312"/>
              <w:contextualSpacing/>
              <w:textboxTightWrap w:val="none"/>
              <w:rPr>
                <w:rFonts w:ascii="Calibri" w:hAnsi="Calibri"/>
                <w:color w:val="auto"/>
                <w:sz w:val="22"/>
                <w:szCs w:val="22"/>
              </w:rPr>
            </w:pPr>
            <w:r w:rsidRPr="00A161AC">
              <w:rPr>
                <w:rFonts w:ascii="Calibri" w:hAnsi="Calibri"/>
                <w:color w:val="auto"/>
                <w:sz w:val="22"/>
                <w:szCs w:val="22"/>
              </w:rPr>
              <w:t>The organisation's strategy reflects shared priorities across the system and has an agreed contribution to the Joint Forward Plan and Capital Plan with ICB and system partners.</w:t>
            </w:r>
          </w:p>
          <w:p w14:paraId="17DFE052" w14:textId="77777777" w:rsidR="00323560" w:rsidRPr="00A161AC" w:rsidRDefault="00323560" w:rsidP="00A161AC">
            <w:pPr>
              <w:numPr>
                <w:ilvl w:val="0"/>
                <w:numId w:val="39"/>
              </w:numPr>
              <w:spacing w:after="0" w:line="240" w:lineRule="auto"/>
              <w:ind w:left="312"/>
              <w:contextualSpacing/>
              <w:textboxTightWrap w:val="none"/>
              <w:rPr>
                <w:rFonts w:ascii="Calibri" w:hAnsi="Calibri"/>
                <w:color w:val="auto"/>
                <w:sz w:val="22"/>
                <w:szCs w:val="22"/>
              </w:rPr>
            </w:pPr>
            <w:r w:rsidRPr="00A161AC">
              <w:rPr>
                <w:rFonts w:ascii="Calibri" w:hAnsi="Calibri"/>
                <w:color w:val="auto"/>
                <w:sz w:val="22"/>
                <w:szCs w:val="22"/>
              </w:rPr>
              <w:t>The organisation is meeting, and will continue to meet, any regulatory directions placed on it or undertakings.</w:t>
            </w:r>
          </w:p>
          <w:p w14:paraId="02AD557A" w14:textId="77777777" w:rsidR="00323560" w:rsidRPr="00A161AC" w:rsidRDefault="00323560" w:rsidP="00A161AC">
            <w:pPr>
              <w:numPr>
                <w:ilvl w:val="0"/>
                <w:numId w:val="39"/>
              </w:numPr>
              <w:spacing w:after="0" w:line="240" w:lineRule="auto"/>
              <w:ind w:left="312"/>
              <w:contextualSpacing/>
              <w:textboxTightWrap w:val="none"/>
              <w:rPr>
                <w:rFonts w:ascii="Calibri" w:hAnsi="Calibri"/>
                <w:color w:val="auto"/>
                <w:sz w:val="22"/>
                <w:szCs w:val="22"/>
              </w:rPr>
            </w:pPr>
            <w:r w:rsidRPr="00A161AC">
              <w:rPr>
                <w:rFonts w:ascii="Calibri" w:hAnsi="Calibri"/>
                <w:color w:val="auto"/>
                <w:sz w:val="22"/>
                <w:szCs w:val="22"/>
              </w:rPr>
              <w:t>The trust is working effectively and collaboratively with system partners and its provider collaborative for the overall good of the system and population served.</w:t>
            </w:r>
          </w:p>
        </w:tc>
      </w:tr>
      <w:tr w:rsidR="00323560" w:rsidRPr="00A161AC" w14:paraId="0C78AFD9" w14:textId="77777777" w:rsidTr="00A161AC">
        <w:trPr>
          <w:trHeight w:val="275"/>
        </w:trPr>
        <w:tc>
          <w:tcPr>
            <w:tcW w:w="9498" w:type="dxa"/>
            <w:tcBorders>
              <w:top w:val="single" w:sz="12" w:space="0" w:color="auto"/>
              <w:left w:val="single" w:sz="12" w:space="0" w:color="auto"/>
              <w:bottom w:val="single" w:sz="12" w:space="0" w:color="auto"/>
              <w:right w:val="single" w:sz="12" w:space="0" w:color="auto"/>
            </w:tcBorders>
            <w:shd w:val="clear" w:color="auto" w:fill="003087" w:themeFill="accent1"/>
          </w:tcPr>
          <w:p w14:paraId="0AEEF6A4" w14:textId="77777777" w:rsidR="00323560" w:rsidRPr="00A161AC" w:rsidRDefault="00323560" w:rsidP="00323560">
            <w:pPr>
              <w:spacing w:after="0" w:line="240" w:lineRule="auto"/>
              <w:textboxTightWrap w:val="none"/>
              <w:rPr>
                <w:rFonts w:ascii="Calibri" w:hAnsi="Calibri"/>
                <w:color w:val="auto"/>
                <w:sz w:val="22"/>
                <w:szCs w:val="22"/>
              </w:rPr>
            </w:pPr>
            <w:r w:rsidRPr="00A161AC">
              <w:rPr>
                <w:rFonts w:cs="Arial"/>
                <w:b/>
                <w:bCs/>
                <w:color w:val="auto"/>
                <w:sz w:val="22"/>
                <w:szCs w:val="22"/>
                <w:lang w:bidi="en-US"/>
              </w:rPr>
              <w:t>Quality of Care</w:t>
            </w:r>
          </w:p>
        </w:tc>
      </w:tr>
      <w:tr w:rsidR="00323560" w:rsidRPr="00A161AC" w14:paraId="62F28212" w14:textId="77777777" w:rsidTr="00323560">
        <w:trPr>
          <w:trHeight w:val="2045"/>
        </w:trPr>
        <w:tc>
          <w:tcPr>
            <w:tcW w:w="9498" w:type="dxa"/>
            <w:tcBorders>
              <w:top w:val="single" w:sz="12" w:space="0" w:color="auto"/>
              <w:bottom w:val="single" w:sz="12" w:space="0" w:color="auto"/>
            </w:tcBorders>
          </w:tcPr>
          <w:p w14:paraId="0CFEC923" w14:textId="77777777" w:rsidR="00323560" w:rsidRPr="00A161AC" w:rsidRDefault="00323560" w:rsidP="00A161AC">
            <w:pPr>
              <w:numPr>
                <w:ilvl w:val="0"/>
                <w:numId w:val="40"/>
              </w:numPr>
              <w:spacing w:after="0" w:line="240" w:lineRule="auto"/>
              <w:ind w:left="312"/>
              <w:contextualSpacing/>
              <w:textboxTightWrap w:val="none"/>
              <w:rPr>
                <w:rFonts w:ascii="Calibri" w:hAnsi="Calibri"/>
                <w:color w:val="auto"/>
                <w:sz w:val="22"/>
                <w:szCs w:val="22"/>
              </w:rPr>
            </w:pPr>
            <w:r w:rsidRPr="00A161AC">
              <w:rPr>
                <w:rFonts w:ascii="Calibri" w:hAnsi="Calibri"/>
                <w:color w:val="auto"/>
                <w:sz w:val="22"/>
                <w:szCs w:val="22"/>
              </w:rPr>
              <w:t>Having had regard to relevant NHSE guidance (supported by Care Quality Commission information, its own information on serious incidents, patterns of complaints, and including any further metrics it chooses to adopt), the trust has, and will keep in place, effective arrangements for the purpose of monitoring and continually improving the quality of healthcare provided to its patients.</w:t>
            </w:r>
          </w:p>
          <w:p w14:paraId="25770B20" w14:textId="77777777" w:rsidR="00323560" w:rsidRPr="00A161AC" w:rsidRDefault="00323560" w:rsidP="00A161AC">
            <w:pPr>
              <w:numPr>
                <w:ilvl w:val="0"/>
                <w:numId w:val="40"/>
              </w:numPr>
              <w:spacing w:after="0" w:line="240" w:lineRule="auto"/>
              <w:ind w:left="312"/>
              <w:contextualSpacing/>
              <w:textboxTightWrap w:val="none"/>
              <w:rPr>
                <w:rFonts w:ascii="Calibri" w:hAnsi="Calibri"/>
                <w:color w:val="auto"/>
                <w:sz w:val="22"/>
                <w:szCs w:val="22"/>
              </w:rPr>
            </w:pPr>
            <w:r w:rsidRPr="00A161AC">
              <w:rPr>
                <w:rFonts w:ascii="Calibri" w:hAnsi="Calibri"/>
                <w:color w:val="auto"/>
                <w:sz w:val="22"/>
                <w:szCs w:val="22"/>
              </w:rPr>
              <w:t>Systems are in place to monitor patient experience, and there are clear paths to relay safety concerns to the Board.</w:t>
            </w:r>
          </w:p>
        </w:tc>
      </w:tr>
      <w:tr w:rsidR="00323560" w:rsidRPr="00A161AC" w14:paraId="794CAD7D" w14:textId="77777777" w:rsidTr="00A161AC">
        <w:trPr>
          <w:trHeight w:val="257"/>
        </w:trPr>
        <w:tc>
          <w:tcPr>
            <w:tcW w:w="9498" w:type="dxa"/>
            <w:tcBorders>
              <w:top w:val="single" w:sz="12" w:space="0" w:color="auto"/>
              <w:left w:val="single" w:sz="12" w:space="0" w:color="auto"/>
              <w:bottom w:val="single" w:sz="12" w:space="0" w:color="auto"/>
              <w:right w:val="single" w:sz="12" w:space="0" w:color="auto"/>
            </w:tcBorders>
            <w:shd w:val="clear" w:color="auto" w:fill="003087" w:themeFill="accent1"/>
          </w:tcPr>
          <w:p w14:paraId="0C74D644" w14:textId="77777777" w:rsidR="00323560" w:rsidRPr="00A161AC" w:rsidRDefault="00323560" w:rsidP="00323560">
            <w:pPr>
              <w:spacing w:after="0" w:line="240" w:lineRule="auto"/>
              <w:textboxTightWrap w:val="none"/>
              <w:rPr>
                <w:rFonts w:ascii="Calibri" w:hAnsi="Calibri"/>
                <w:color w:val="auto"/>
                <w:sz w:val="22"/>
                <w:szCs w:val="22"/>
              </w:rPr>
            </w:pPr>
            <w:r w:rsidRPr="00A161AC">
              <w:rPr>
                <w:rFonts w:cs="Arial"/>
                <w:b/>
                <w:bCs/>
                <w:color w:val="auto"/>
                <w:sz w:val="22"/>
                <w:szCs w:val="22"/>
                <w:lang w:bidi="en-US"/>
              </w:rPr>
              <w:t>People</w:t>
            </w:r>
          </w:p>
        </w:tc>
      </w:tr>
      <w:tr w:rsidR="00323560" w:rsidRPr="00A161AC" w14:paraId="010AAADE" w14:textId="77777777" w:rsidTr="00323560">
        <w:trPr>
          <w:trHeight w:val="1203"/>
        </w:trPr>
        <w:tc>
          <w:tcPr>
            <w:tcW w:w="9498" w:type="dxa"/>
            <w:tcBorders>
              <w:top w:val="single" w:sz="12" w:space="0" w:color="auto"/>
              <w:bottom w:val="single" w:sz="12" w:space="0" w:color="auto"/>
            </w:tcBorders>
          </w:tcPr>
          <w:p w14:paraId="0DA89CDC" w14:textId="77777777" w:rsidR="00323560" w:rsidRPr="00A161AC" w:rsidRDefault="00323560" w:rsidP="00A161AC">
            <w:pPr>
              <w:numPr>
                <w:ilvl w:val="0"/>
                <w:numId w:val="41"/>
              </w:numPr>
              <w:spacing w:after="0" w:line="240" w:lineRule="auto"/>
              <w:ind w:left="312"/>
              <w:contextualSpacing/>
              <w:textboxTightWrap w:val="none"/>
              <w:rPr>
                <w:rFonts w:ascii="Calibri" w:hAnsi="Calibri"/>
                <w:color w:val="auto"/>
                <w:sz w:val="22"/>
                <w:szCs w:val="22"/>
              </w:rPr>
            </w:pPr>
            <w:r w:rsidRPr="00A161AC">
              <w:rPr>
                <w:rFonts w:ascii="Calibri" w:hAnsi="Calibri"/>
                <w:color w:val="auto"/>
                <w:sz w:val="22"/>
                <w:szCs w:val="22"/>
              </w:rPr>
              <w:t>Staff feedback is used to improve quality of care provided by the trust.</w:t>
            </w:r>
          </w:p>
          <w:p w14:paraId="18964E8F" w14:textId="77777777" w:rsidR="00323560" w:rsidRPr="00A161AC" w:rsidRDefault="00323560" w:rsidP="00A161AC">
            <w:pPr>
              <w:numPr>
                <w:ilvl w:val="0"/>
                <w:numId w:val="41"/>
              </w:numPr>
              <w:spacing w:after="0" w:line="240" w:lineRule="auto"/>
              <w:ind w:left="312"/>
              <w:contextualSpacing/>
              <w:textboxTightWrap w:val="none"/>
              <w:rPr>
                <w:rFonts w:ascii="Calibri" w:hAnsi="Calibri"/>
                <w:color w:val="auto"/>
                <w:sz w:val="22"/>
                <w:szCs w:val="22"/>
              </w:rPr>
            </w:pPr>
            <w:r w:rsidRPr="00A161AC">
              <w:rPr>
                <w:rFonts w:ascii="Calibri" w:hAnsi="Calibri"/>
                <w:color w:val="auto"/>
                <w:sz w:val="22"/>
                <w:szCs w:val="22"/>
              </w:rPr>
              <w:t>Staff have the relevant skills and capacity to undertake their roles, with training and development programs in place at all levels.</w:t>
            </w:r>
          </w:p>
          <w:p w14:paraId="595084FC" w14:textId="77777777" w:rsidR="00323560" w:rsidRPr="00A161AC" w:rsidRDefault="00323560" w:rsidP="00A161AC">
            <w:pPr>
              <w:numPr>
                <w:ilvl w:val="0"/>
                <w:numId w:val="41"/>
              </w:numPr>
              <w:spacing w:after="0" w:line="240" w:lineRule="auto"/>
              <w:ind w:left="312"/>
              <w:contextualSpacing/>
              <w:textboxTightWrap w:val="none"/>
              <w:rPr>
                <w:rFonts w:ascii="Calibri" w:hAnsi="Calibri"/>
                <w:color w:val="auto"/>
                <w:sz w:val="22"/>
                <w:szCs w:val="22"/>
              </w:rPr>
            </w:pPr>
            <w:r w:rsidRPr="00A161AC">
              <w:rPr>
                <w:rFonts w:ascii="Calibri" w:hAnsi="Calibri"/>
                <w:color w:val="auto"/>
                <w:sz w:val="22"/>
                <w:szCs w:val="22"/>
              </w:rPr>
              <w:t>Staff are able to express concerns in an open and constructive environment.</w:t>
            </w:r>
          </w:p>
        </w:tc>
      </w:tr>
      <w:tr w:rsidR="00323560" w:rsidRPr="00A161AC" w14:paraId="51D86D6E" w14:textId="77777777" w:rsidTr="00A161AC">
        <w:trPr>
          <w:trHeight w:val="257"/>
        </w:trPr>
        <w:tc>
          <w:tcPr>
            <w:tcW w:w="9498" w:type="dxa"/>
            <w:tcBorders>
              <w:top w:val="single" w:sz="12" w:space="0" w:color="auto"/>
              <w:left w:val="single" w:sz="12" w:space="0" w:color="auto"/>
              <w:bottom w:val="single" w:sz="12" w:space="0" w:color="auto"/>
              <w:right w:val="single" w:sz="12" w:space="0" w:color="auto"/>
            </w:tcBorders>
            <w:shd w:val="clear" w:color="auto" w:fill="003087" w:themeFill="accent1"/>
          </w:tcPr>
          <w:p w14:paraId="1149A8AB" w14:textId="77777777" w:rsidR="00323560" w:rsidRPr="00A161AC" w:rsidRDefault="00323560" w:rsidP="00323560">
            <w:pPr>
              <w:spacing w:after="0" w:line="240" w:lineRule="auto"/>
              <w:textboxTightWrap w:val="none"/>
              <w:rPr>
                <w:rFonts w:ascii="Calibri" w:hAnsi="Calibri"/>
                <w:color w:val="auto"/>
                <w:sz w:val="22"/>
                <w:szCs w:val="22"/>
              </w:rPr>
            </w:pPr>
            <w:r w:rsidRPr="00A161AC">
              <w:rPr>
                <w:rFonts w:cs="Arial"/>
                <w:b/>
                <w:bCs/>
                <w:color w:val="auto"/>
                <w:sz w:val="22"/>
                <w:szCs w:val="22"/>
                <w:lang w:bidi="en-US"/>
              </w:rPr>
              <w:t>Access</w:t>
            </w:r>
          </w:p>
        </w:tc>
      </w:tr>
      <w:tr w:rsidR="00323560" w:rsidRPr="00A161AC" w14:paraId="431E815A" w14:textId="77777777" w:rsidTr="00323560">
        <w:trPr>
          <w:trHeight w:val="1478"/>
        </w:trPr>
        <w:tc>
          <w:tcPr>
            <w:tcW w:w="9498" w:type="dxa"/>
            <w:tcBorders>
              <w:top w:val="single" w:sz="12" w:space="0" w:color="auto"/>
              <w:bottom w:val="single" w:sz="12" w:space="0" w:color="auto"/>
            </w:tcBorders>
          </w:tcPr>
          <w:p w14:paraId="76EAFAF9" w14:textId="77777777" w:rsidR="00323560" w:rsidRPr="00A161AC" w:rsidRDefault="00323560" w:rsidP="00A161AC">
            <w:pPr>
              <w:numPr>
                <w:ilvl w:val="0"/>
                <w:numId w:val="43"/>
              </w:numPr>
              <w:spacing w:after="0" w:line="240" w:lineRule="auto"/>
              <w:ind w:left="312"/>
              <w:contextualSpacing/>
              <w:textboxTightWrap w:val="none"/>
              <w:rPr>
                <w:rFonts w:ascii="Calibri" w:hAnsi="Calibri"/>
                <w:color w:val="auto"/>
                <w:sz w:val="22"/>
                <w:szCs w:val="22"/>
              </w:rPr>
            </w:pPr>
            <w:r w:rsidRPr="00A161AC">
              <w:rPr>
                <w:rFonts w:ascii="Calibri" w:hAnsi="Calibri"/>
                <w:color w:val="auto"/>
                <w:sz w:val="22"/>
                <w:szCs w:val="22"/>
              </w:rPr>
              <w:t>Plans are in place to improve performance against the relevant access and waiting times standards.</w:t>
            </w:r>
          </w:p>
          <w:p w14:paraId="2FAB1B18" w14:textId="77777777" w:rsidR="00323560" w:rsidRPr="00A161AC" w:rsidRDefault="00323560" w:rsidP="00A161AC">
            <w:pPr>
              <w:numPr>
                <w:ilvl w:val="0"/>
                <w:numId w:val="43"/>
              </w:numPr>
              <w:spacing w:after="0" w:line="240" w:lineRule="auto"/>
              <w:ind w:left="312"/>
              <w:contextualSpacing/>
              <w:textboxTightWrap w:val="none"/>
              <w:rPr>
                <w:rFonts w:ascii="Calibri" w:hAnsi="Calibri"/>
                <w:color w:val="auto"/>
                <w:sz w:val="22"/>
                <w:szCs w:val="22"/>
              </w:rPr>
            </w:pPr>
            <w:r w:rsidRPr="00A161AC">
              <w:rPr>
                <w:rFonts w:ascii="Calibri" w:hAnsi="Calibri"/>
                <w:color w:val="auto"/>
                <w:sz w:val="22"/>
                <w:szCs w:val="22"/>
              </w:rPr>
              <w:t>The trust is able to identify and address inequalities in access/waiting times to NHS services across its patients.</w:t>
            </w:r>
          </w:p>
          <w:p w14:paraId="523B2C47" w14:textId="77777777" w:rsidR="00323560" w:rsidRPr="00A161AC" w:rsidRDefault="00323560" w:rsidP="00A161AC">
            <w:pPr>
              <w:numPr>
                <w:ilvl w:val="0"/>
                <w:numId w:val="43"/>
              </w:numPr>
              <w:spacing w:after="0" w:line="240" w:lineRule="auto"/>
              <w:ind w:left="312"/>
              <w:contextualSpacing/>
              <w:textboxTightWrap w:val="none"/>
              <w:rPr>
                <w:rFonts w:ascii="Calibri" w:hAnsi="Calibri"/>
                <w:color w:val="auto"/>
                <w:sz w:val="22"/>
                <w:szCs w:val="22"/>
              </w:rPr>
            </w:pPr>
            <w:r w:rsidRPr="00A161AC">
              <w:rPr>
                <w:rFonts w:ascii="Calibri" w:hAnsi="Calibri"/>
                <w:color w:val="auto"/>
                <w:sz w:val="22"/>
                <w:szCs w:val="22"/>
              </w:rPr>
              <w:t>Appropriate population health targets have been agreed with the Integrated Care Board.</w:t>
            </w:r>
          </w:p>
        </w:tc>
      </w:tr>
      <w:tr w:rsidR="00323560" w:rsidRPr="00A161AC" w14:paraId="50C141CF" w14:textId="77777777" w:rsidTr="00A161AC">
        <w:trPr>
          <w:trHeight w:val="319"/>
        </w:trPr>
        <w:tc>
          <w:tcPr>
            <w:tcW w:w="9498" w:type="dxa"/>
            <w:tcBorders>
              <w:top w:val="single" w:sz="12" w:space="0" w:color="auto"/>
              <w:left w:val="single" w:sz="12" w:space="0" w:color="auto"/>
              <w:bottom w:val="single" w:sz="12" w:space="0" w:color="auto"/>
              <w:right w:val="single" w:sz="12" w:space="0" w:color="auto"/>
            </w:tcBorders>
            <w:shd w:val="clear" w:color="auto" w:fill="003087" w:themeFill="accent1"/>
          </w:tcPr>
          <w:p w14:paraId="04552035" w14:textId="77777777" w:rsidR="00323560" w:rsidRPr="00A161AC" w:rsidRDefault="00323560" w:rsidP="00323560">
            <w:pPr>
              <w:spacing w:after="0" w:line="240" w:lineRule="auto"/>
              <w:textboxTightWrap w:val="none"/>
              <w:rPr>
                <w:rFonts w:cs="Arial"/>
                <w:b/>
                <w:bCs/>
                <w:color w:val="auto"/>
                <w:sz w:val="22"/>
                <w:szCs w:val="22"/>
                <w:lang w:bidi="en-US"/>
              </w:rPr>
            </w:pPr>
            <w:r w:rsidRPr="00A161AC">
              <w:rPr>
                <w:rFonts w:eastAsia="Arial" w:cs="Arial"/>
                <w:b/>
                <w:bCs/>
                <w:color w:val="auto"/>
                <w:sz w:val="22"/>
                <w:szCs w:val="22"/>
                <w:lang w:bidi="en-US"/>
              </w:rPr>
              <w:t>Productivity</w:t>
            </w:r>
          </w:p>
        </w:tc>
      </w:tr>
      <w:tr w:rsidR="00323560" w:rsidRPr="00A161AC" w14:paraId="0F1C70F7" w14:textId="77777777" w:rsidTr="00323560">
        <w:trPr>
          <w:trHeight w:val="567"/>
        </w:trPr>
        <w:tc>
          <w:tcPr>
            <w:tcW w:w="9498" w:type="dxa"/>
            <w:tcBorders>
              <w:top w:val="single" w:sz="12" w:space="0" w:color="auto"/>
              <w:bottom w:val="single" w:sz="12" w:space="0" w:color="auto"/>
            </w:tcBorders>
          </w:tcPr>
          <w:p w14:paraId="210670A7" w14:textId="77777777" w:rsidR="00323560" w:rsidRPr="00A161AC" w:rsidRDefault="00323560" w:rsidP="00323560">
            <w:pPr>
              <w:spacing w:after="0" w:line="240" w:lineRule="auto"/>
              <w:textboxTightWrap w:val="none"/>
              <w:rPr>
                <w:rFonts w:ascii="Calibri" w:hAnsi="Calibri"/>
                <w:color w:val="auto"/>
                <w:sz w:val="22"/>
                <w:szCs w:val="22"/>
              </w:rPr>
            </w:pPr>
            <w:r w:rsidRPr="00A161AC">
              <w:rPr>
                <w:rFonts w:ascii="Calibri" w:hAnsi="Calibri"/>
                <w:color w:val="auto"/>
                <w:sz w:val="22"/>
                <w:szCs w:val="22"/>
              </w:rPr>
              <w:t>Plans are in place to deliver productivity improvements as referenced in e.g. the NHS model system guidance, The Insightful Board and other guidance as relevant.</w:t>
            </w:r>
          </w:p>
        </w:tc>
      </w:tr>
      <w:tr w:rsidR="00323560" w:rsidRPr="00A161AC" w14:paraId="4B23D8F9" w14:textId="77777777" w:rsidTr="00A161AC">
        <w:trPr>
          <w:trHeight w:val="275"/>
        </w:trPr>
        <w:tc>
          <w:tcPr>
            <w:tcW w:w="9498" w:type="dxa"/>
            <w:tcBorders>
              <w:top w:val="single" w:sz="12" w:space="0" w:color="auto"/>
              <w:left w:val="single" w:sz="12" w:space="0" w:color="auto"/>
              <w:bottom w:val="single" w:sz="12" w:space="0" w:color="auto"/>
              <w:right w:val="single" w:sz="12" w:space="0" w:color="auto"/>
            </w:tcBorders>
            <w:shd w:val="clear" w:color="auto" w:fill="003087" w:themeFill="accent1"/>
          </w:tcPr>
          <w:p w14:paraId="51267358" w14:textId="77777777" w:rsidR="00323560" w:rsidRPr="00A161AC" w:rsidRDefault="00323560" w:rsidP="00323560">
            <w:pPr>
              <w:spacing w:after="0" w:line="240" w:lineRule="auto"/>
              <w:textboxTightWrap w:val="none"/>
              <w:rPr>
                <w:rFonts w:ascii="Calibri" w:hAnsi="Calibri"/>
                <w:color w:val="auto"/>
                <w:sz w:val="22"/>
                <w:szCs w:val="22"/>
              </w:rPr>
            </w:pPr>
            <w:r w:rsidRPr="00A161AC">
              <w:rPr>
                <w:rFonts w:cs="Arial"/>
                <w:b/>
                <w:bCs/>
                <w:color w:val="auto"/>
                <w:sz w:val="22"/>
                <w:szCs w:val="22"/>
                <w:lang w:bidi="en-US"/>
              </w:rPr>
              <w:t>Finance</w:t>
            </w:r>
          </w:p>
        </w:tc>
      </w:tr>
      <w:tr w:rsidR="00323560" w:rsidRPr="00A161AC" w14:paraId="1D70C3EB" w14:textId="77777777" w:rsidTr="00323560">
        <w:trPr>
          <w:trHeight w:val="1770"/>
        </w:trPr>
        <w:tc>
          <w:tcPr>
            <w:tcW w:w="9498" w:type="dxa"/>
            <w:tcBorders>
              <w:top w:val="single" w:sz="12" w:space="0" w:color="auto"/>
              <w:bottom w:val="single" w:sz="12" w:space="0" w:color="auto"/>
            </w:tcBorders>
          </w:tcPr>
          <w:p w14:paraId="3947B8C6" w14:textId="77777777" w:rsidR="00323560" w:rsidRPr="00A161AC" w:rsidRDefault="00323560" w:rsidP="00A161AC">
            <w:pPr>
              <w:numPr>
                <w:ilvl w:val="0"/>
                <w:numId w:val="42"/>
              </w:numPr>
              <w:spacing w:after="0" w:line="240" w:lineRule="auto"/>
              <w:ind w:left="312"/>
              <w:contextualSpacing/>
              <w:textboxTightWrap w:val="none"/>
              <w:rPr>
                <w:rFonts w:ascii="Calibri" w:hAnsi="Calibri"/>
                <w:color w:val="auto"/>
                <w:sz w:val="22"/>
                <w:szCs w:val="22"/>
              </w:rPr>
            </w:pPr>
            <w:r w:rsidRPr="00A161AC">
              <w:rPr>
                <w:rFonts w:ascii="Calibri" w:hAnsi="Calibri"/>
                <w:color w:val="auto"/>
                <w:sz w:val="22"/>
                <w:szCs w:val="22"/>
              </w:rPr>
              <w:t>The trust has a robust financial governance framework and appropriate contract management arrangements.</w:t>
            </w:r>
          </w:p>
          <w:p w14:paraId="0F88687D" w14:textId="77777777" w:rsidR="00323560" w:rsidRPr="00A161AC" w:rsidRDefault="00323560" w:rsidP="00A161AC">
            <w:pPr>
              <w:numPr>
                <w:ilvl w:val="0"/>
                <w:numId w:val="42"/>
              </w:numPr>
              <w:spacing w:after="0" w:line="240" w:lineRule="auto"/>
              <w:ind w:left="312"/>
              <w:contextualSpacing/>
              <w:textboxTightWrap w:val="none"/>
              <w:rPr>
                <w:rFonts w:ascii="Calibri" w:hAnsi="Calibri"/>
                <w:color w:val="auto"/>
                <w:sz w:val="22"/>
                <w:szCs w:val="22"/>
              </w:rPr>
            </w:pPr>
            <w:r w:rsidRPr="00A161AC">
              <w:rPr>
                <w:rFonts w:ascii="Calibri" w:hAnsi="Calibri"/>
                <w:color w:val="auto"/>
                <w:sz w:val="22"/>
                <w:szCs w:val="22"/>
              </w:rPr>
              <w:t>Financial risk is managed effectively and financial considerations (e.g. efficiency programs) do not adversely affect patient care and outcomes.</w:t>
            </w:r>
          </w:p>
          <w:p w14:paraId="7F1D2DBE" w14:textId="77777777" w:rsidR="00323560" w:rsidRPr="00A161AC" w:rsidRDefault="00323560" w:rsidP="00A161AC">
            <w:pPr>
              <w:numPr>
                <w:ilvl w:val="0"/>
                <w:numId w:val="42"/>
              </w:numPr>
              <w:spacing w:after="0" w:line="240" w:lineRule="auto"/>
              <w:ind w:left="312"/>
              <w:contextualSpacing/>
              <w:textboxTightWrap w:val="none"/>
              <w:rPr>
                <w:rFonts w:ascii="Calibri" w:hAnsi="Calibri"/>
                <w:color w:val="auto"/>
                <w:sz w:val="22"/>
                <w:szCs w:val="22"/>
              </w:rPr>
            </w:pPr>
            <w:r w:rsidRPr="00A161AC">
              <w:rPr>
                <w:rFonts w:ascii="Calibri" w:hAnsi="Calibri"/>
                <w:color w:val="auto"/>
                <w:sz w:val="22"/>
                <w:szCs w:val="22"/>
              </w:rPr>
              <w:t>The trust actively engages with its system partners on the optimal use of NHS resources and supports the overall system delivering its planned financial out-turn.</w:t>
            </w:r>
          </w:p>
        </w:tc>
      </w:tr>
      <w:tr w:rsidR="00323560" w:rsidRPr="00A161AC" w14:paraId="735B6D4B" w14:textId="77777777" w:rsidTr="00323560">
        <w:trPr>
          <w:trHeight w:val="567"/>
        </w:trPr>
        <w:tc>
          <w:tcPr>
            <w:tcW w:w="9498" w:type="dxa"/>
            <w:tcBorders>
              <w:top w:val="single" w:sz="12" w:space="0" w:color="auto"/>
              <w:left w:val="single" w:sz="12" w:space="0" w:color="auto"/>
              <w:bottom w:val="single" w:sz="12" w:space="0" w:color="auto"/>
              <w:right w:val="single" w:sz="12" w:space="0" w:color="auto"/>
            </w:tcBorders>
          </w:tcPr>
          <w:p w14:paraId="0A18C572" w14:textId="77777777" w:rsidR="00323560" w:rsidRPr="00A161AC" w:rsidRDefault="00323560" w:rsidP="00323560">
            <w:pPr>
              <w:spacing w:after="0" w:line="240" w:lineRule="auto"/>
              <w:textboxTightWrap w:val="none"/>
              <w:rPr>
                <w:rFonts w:ascii="Calibri" w:hAnsi="Calibri"/>
                <w:b/>
                <w:bCs/>
                <w:color w:val="auto"/>
                <w:sz w:val="22"/>
                <w:szCs w:val="22"/>
              </w:rPr>
            </w:pPr>
            <w:r w:rsidRPr="00A161AC">
              <w:rPr>
                <w:rFonts w:ascii="Calibri" w:hAnsi="Calibri"/>
                <w:b/>
                <w:bCs/>
                <w:color w:val="auto"/>
                <w:sz w:val="22"/>
                <w:szCs w:val="22"/>
              </w:rPr>
              <w:t>The Board confirms that it has not received any relevant third-party information contradicting or undermining the information underpinning the disclosures above.</w:t>
            </w:r>
          </w:p>
        </w:tc>
      </w:tr>
    </w:tbl>
    <w:p w14:paraId="7A33D1B7" w14:textId="77777777" w:rsidR="0030767C" w:rsidRPr="00A161AC" w:rsidRDefault="0030767C">
      <w:pPr>
        <w:spacing w:after="0" w:line="240" w:lineRule="auto"/>
        <w:textboxTightWrap w:val="none"/>
      </w:pPr>
      <w:r w:rsidRPr="00A161AC">
        <w:br w:type="page"/>
      </w:r>
    </w:p>
    <w:p w14:paraId="7861097A" w14:textId="7E178AC0" w:rsidR="00663258" w:rsidRPr="00A161AC" w:rsidRDefault="0030767C" w:rsidP="0030767C">
      <w:pPr>
        <w:pStyle w:val="Heading2"/>
      </w:pPr>
      <w:bookmarkStart w:id="29" w:name="_Toc163574933"/>
      <w:r w:rsidRPr="00A161AC">
        <w:lastRenderedPageBreak/>
        <w:t xml:space="preserve">Annex </w:t>
      </w:r>
      <w:r w:rsidR="00741255" w:rsidRPr="00A161AC">
        <w:t>C</w:t>
      </w:r>
      <w:r w:rsidRPr="00A161AC">
        <w:t>: Recovery Support Programme</w:t>
      </w:r>
      <w:bookmarkEnd w:id="29"/>
    </w:p>
    <w:p w14:paraId="1E131A58" w14:textId="5E9CFC54" w:rsidR="00706E7D" w:rsidRPr="00A161AC" w:rsidRDefault="00706E7D" w:rsidP="008C5083">
      <w:pPr>
        <w:pStyle w:val="bodytextnumbered"/>
        <w:spacing w:after="0"/>
        <w:ind w:left="357" w:hanging="357"/>
      </w:pPr>
      <w:r w:rsidRPr="00A161AC">
        <w:t xml:space="preserve">The Recovery Support Programme (RSP) was launched in 2021 to provide focused integrated support to the most challenged ICBs and providers (NHS Trusts and Foundation Trusts). It has been developed to provide intensive support at either the organisational level, working with the </w:t>
      </w:r>
      <w:r w:rsidR="00743529" w:rsidRPr="00A161AC">
        <w:t xml:space="preserve">relevant </w:t>
      </w:r>
      <w:r w:rsidRPr="00A161AC">
        <w:t xml:space="preserve">ICB as appropriate, or across the whole health and social care system, working with non-NHS partners where necessary and coordinating support through the ICB. </w:t>
      </w:r>
      <w:r w:rsidRPr="00A161AC">
        <w:br/>
        <w:t xml:space="preserve"> </w:t>
      </w:r>
    </w:p>
    <w:p w14:paraId="5DE67463" w14:textId="77777777" w:rsidR="00706E7D" w:rsidRPr="00A161AC" w:rsidRDefault="00706E7D" w:rsidP="00706E7D">
      <w:pPr>
        <w:rPr>
          <w:b/>
          <w:bCs/>
          <w:color w:val="003087" w:themeColor="accent1"/>
          <w:sz w:val="28"/>
          <w:szCs w:val="28"/>
        </w:rPr>
      </w:pPr>
      <w:r w:rsidRPr="00A161AC">
        <w:rPr>
          <w:b/>
          <w:bCs/>
          <w:color w:val="003087" w:themeColor="accent1"/>
          <w:sz w:val="28"/>
          <w:szCs w:val="28"/>
        </w:rPr>
        <w:t>Referring organisations to the RSP</w:t>
      </w:r>
    </w:p>
    <w:p w14:paraId="6D0BF2AC" w14:textId="77777777" w:rsidR="00706E7D" w:rsidRPr="00A161AC" w:rsidRDefault="00706E7D" w:rsidP="004E6ABD">
      <w:pPr>
        <w:pStyle w:val="bodytextnumbered"/>
        <w:spacing w:after="0"/>
        <w:ind w:left="357" w:hanging="357"/>
      </w:pPr>
      <w:r w:rsidRPr="00A161AC">
        <w:t>An ICB or provider may be considered for entry into the RSP in the following circumstances:</w:t>
      </w:r>
    </w:p>
    <w:p w14:paraId="7E69A239" w14:textId="56B1E8D8" w:rsidR="00706E7D" w:rsidRPr="00A161AC" w:rsidRDefault="00706E7D" w:rsidP="004E6ABD">
      <w:pPr>
        <w:pStyle w:val="bodytextnumbered11"/>
        <w:spacing w:after="0"/>
        <w:ind w:left="1208" w:hanging="357"/>
      </w:pPr>
      <w:r w:rsidRPr="00A161AC">
        <w:t xml:space="preserve">When it has a provisional segment of 4; </w:t>
      </w:r>
    </w:p>
    <w:p w14:paraId="35815AB8" w14:textId="15F7344B" w:rsidR="00706E7D" w:rsidRPr="00A161AC" w:rsidRDefault="00706E7D" w:rsidP="004E6ABD">
      <w:pPr>
        <w:pStyle w:val="bodytextnumbered11"/>
        <w:spacing w:after="0"/>
        <w:ind w:left="1208" w:hanging="357"/>
      </w:pPr>
      <w:r w:rsidRPr="00A161AC">
        <w:t xml:space="preserve">Where we have sufficiently high levels of concern, </w:t>
      </w:r>
      <w:r w:rsidR="00DB2F12" w:rsidRPr="00A161AC">
        <w:rPr>
          <w:color w:val="auto"/>
        </w:rPr>
        <w:t xml:space="preserve">arising recently or otherwise not covered by the metrics, </w:t>
      </w:r>
      <w:r w:rsidRPr="00A161AC">
        <w:rPr>
          <w:color w:val="auto"/>
        </w:rPr>
        <w:t>e.</w:t>
      </w:r>
      <w:r w:rsidR="00DB2F12" w:rsidRPr="00A161AC">
        <w:rPr>
          <w:color w:val="auto"/>
        </w:rPr>
        <w:t>g.</w:t>
      </w:r>
      <w:r w:rsidRPr="00A161AC">
        <w:t xml:space="preserve"> there have been major failures of governance, leadership, finance, quality, or patient safety</w:t>
      </w:r>
      <w:r w:rsidR="00DF67B4" w:rsidRPr="00A161AC">
        <w:t>; or</w:t>
      </w:r>
    </w:p>
    <w:p w14:paraId="7FEA1279" w14:textId="51F960B9" w:rsidR="00AF1B0F" w:rsidRPr="00A161AC" w:rsidRDefault="00706E7D" w:rsidP="004E6ABD">
      <w:pPr>
        <w:pStyle w:val="bodytextnumbered11"/>
        <w:spacing w:after="0"/>
        <w:ind w:left="1208" w:hanging="357"/>
      </w:pPr>
      <w:r w:rsidRPr="00A161AC">
        <w:t>Where it is deemed necessary as part of a whole-system response to complex system-wide challenges regardless of its own performance and capability levels</w:t>
      </w:r>
    </w:p>
    <w:p w14:paraId="7D989C19" w14:textId="77777777" w:rsidR="008C5083" w:rsidRPr="00A161AC" w:rsidRDefault="008C5083" w:rsidP="008C5083">
      <w:pPr>
        <w:pStyle w:val="bodytextnumbered11"/>
        <w:numPr>
          <w:ilvl w:val="0"/>
          <w:numId w:val="0"/>
        </w:numPr>
        <w:spacing w:after="0"/>
        <w:ind w:left="1208"/>
      </w:pPr>
    </w:p>
    <w:p w14:paraId="215E6B8F" w14:textId="539D6849" w:rsidR="00706E7D" w:rsidRPr="00A161AC" w:rsidRDefault="00706E7D" w:rsidP="004E6ABD">
      <w:pPr>
        <w:pStyle w:val="bodytextnumbered"/>
        <w:spacing w:after="0"/>
        <w:ind w:left="357" w:hanging="357"/>
      </w:pPr>
      <w:r w:rsidRPr="00A161AC">
        <w:t>Where a referral to the RSP is considered appropriate, our relevant executive governance will be asked to approve this decision based on a broad range of information. Where it is agreed that referral into the RSP should take place, the organisation’s segment is updated to 4.</w:t>
      </w:r>
    </w:p>
    <w:p w14:paraId="198E155F" w14:textId="77777777" w:rsidR="008C5083" w:rsidRPr="00A161AC" w:rsidRDefault="008C5083" w:rsidP="008C5083">
      <w:pPr>
        <w:pStyle w:val="bodytextnumbered"/>
        <w:numPr>
          <w:ilvl w:val="0"/>
          <w:numId w:val="0"/>
        </w:numPr>
        <w:spacing w:after="0"/>
      </w:pPr>
    </w:p>
    <w:p w14:paraId="3E510A77" w14:textId="77777777" w:rsidR="00706E7D" w:rsidRPr="00A161AC" w:rsidRDefault="00706E7D" w:rsidP="004E6ABD">
      <w:pPr>
        <w:pStyle w:val="bodytextnumbered"/>
        <w:spacing w:after="0"/>
        <w:ind w:left="357" w:hanging="357"/>
      </w:pPr>
      <w:r w:rsidRPr="00A161AC">
        <w:t>Once a decision has been made to enter an organisation into the RSP, this is communicated to the organisation by our Chief Operating Officer and shared publicly on the NHS England website.</w:t>
      </w:r>
      <w:r w:rsidRPr="00A161AC">
        <w:br/>
      </w:r>
    </w:p>
    <w:p w14:paraId="460B55F1" w14:textId="77777777" w:rsidR="00706E7D" w:rsidRPr="00A161AC" w:rsidRDefault="00706E7D" w:rsidP="00706E7D">
      <w:pPr>
        <w:rPr>
          <w:b/>
          <w:bCs/>
          <w:color w:val="003087" w:themeColor="accent1"/>
          <w:sz w:val="28"/>
          <w:szCs w:val="28"/>
        </w:rPr>
      </w:pPr>
      <w:r w:rsidRPr="00A161AC">
        <w:rPr>
          <w:b/>
          <w:bCs/>
          <w:color w:val="003087" w:themeColor="accent1"/>
          <w:sz w:val="28"/>
          <w:szCs w:val="28"/>
        </w:rPr>
        <w:t>Activities undertaken in the RSP</w:t>
      </w:r>
    </w:p>
    <w:p w14:paraId="3BECC8CE" w14:textId="77777777" w:rsidR="00706E7D" w:rsidRPr="00A161AC" w:rsidRDefault="00706E7D" w:rsidP="004E6ABD">
      <w:pPr>
        <w:pStyle w:val="bodytextnumbered"/>
        <w:spacing w:after="0"/>
        <w:ind w:left="357" w:hanging="357"/>
      </w:pPr>
      <w:r w:rsidRPr="00A161AC">
        <w:t>Following entry into the RSP, a diagnostic stocktake involving all relevant NHS system partners is undertaken to:</w:t>
      </w:r>
    </w:p>
    <w:p w14:paraId="05E060E7" w14:textId="77777777" w:rsidR="00706E7D" w:rsidRPr="00A161AC" w:rsidRDefault="00706E7D" w:rsidP="004E6ABD">
      <w:pPr>
        <w:pStyle w:val="bodytextnumbered11"/>
        <w:spacing w:after="0"/>
        <w:ind w:left="1208" w:hanging="357"/>
      </w:pPr>
      <w:r w:rsidRPr="00A161AC">
        <w:t>identify the root cause(s) of the problem(s) and the structural and strategic issues that must be addressed, as well as the role of different parts of the system in helping to address the challenges;</w:t>
      </w:r>
    </w:p>
    <w:p w14:paraId="0BF23E23" w14:textId="77777777" w:rsidR="00706E7D" w:rsidRPr="00A161AC" w:rsidRDefault="00706E7D" w:rsidP="004E6ABD">
      <w:pPr>
        <w:pStyle w:val="bodytextnumbered11"/>
        <w:spacing w:after="0"/>
        <w:ind w:left="1208" w:hanging="357"/>
      </w:pPr>
      <w:r w:rsidRPr="00A161AC">
        <w:t>recommend the transition criteria that must be met for the ICB or provider to transition from the RSP to Segment 3 and an indicative timeline to achieve this; and</w:t>
      </w:r>
    </w:p>
    <w:p w14:paraId="67466B60" w14:textId="77777777" w:rsidR="00706E7D" w:rsidRPr="00A161AC" w:rsidRDefault="00706E7D" w:rsidP="004E6ABD">
      <w:pPr>
        <w:pStyle w:val="bodytextnumbered11"/>
        <w:spacing w:after="0"/>
        <w:ind w:left="1208" w:hanging="357"/>
      </w:pPr>
      <w:r w:rsidRPr="00A161AC">
        <w:t xml:space="preserve">possibly recommend, in some instances, that the ICB and/or the wider NHS system should be in the Recovery Support Programme alongside the provider </w:t>
      </w:r>
      <w:r w:rsidRPr="00A161AC">
        <w:lastRenderedPageBreak/>
        <w:t>that is being originally supported. This is likely to be in cases where there is evidence of the provider being serially challenged and/or if other NHS system partners are needed to implement the requisite solutions as determined by the diagnostic.</w:t>
      </w:r>
    </w:p>
    <w:p w14:paraId="162B9893" w14:textId="77777777" w:rsidR="008C5083" w:rsidRPr="00A161AC" w:rsidRDefault="008C5083" w:rsidP="008C5083">
      <w:pPr>
        <w:pStyle w:val="bodytextnumbered11"/>
        <w:numPr>
          <w:ilvl w:val="0"/>
          <w:numId w:val="0"/>
        </w:numPr>
        <w:spacing w:after="0"/>
        <w:ind w:left="1208"/>
      </w:pPr>
    </w:p>
    <w:p w14:paraId="13923797" w14:textId="77777777" w:rsidR="00706E7D" w:rsidRPr="00A161AC" w:rsidRDefault="00706E7D" w:rsidP="004E6ABD">
      <w:pPr>
        <w:pStyle w:val="bodytextnumbered"/>
        <w:spacing w:after="0"/>
        <w:ind w:left="357" w:hanging="357"/>
      </w:pPr>
      <w:r w:rsidRPr="00A161AC">
        <w:t>The RSP undertakes a supplementary evaluation of the organisation’s leadership capability. This evaluation will take into consideration the organisation’s current capability score and</w:t>
      </w:r>
      <w:r w:rsidRPr="00A161AC" w:rsidDel="006E507A">
        <w:t xml:space="preserve"> </w:t>
      </w:r>
      <w:r w:rsidRPr="00A161AC">
        <w:t>may lead, if necessary, to changes to the leadership of the ICB or provider to make sure the Board and executive team can make the required improvements. Where changes are required, this will happen as soon as is practical and necessary support will be provided to facilitate this.</w:t>
      </w:r>
    </w:p>
    <w:p w14:paraId="1EFFA639" w14:textId="77777777" w:rsidR="008C5083" w:rsidRPr="00A161AC" w:rsidRDefault="008C5083" w:rsidP="008C5083">
      <w:pPr>
        <w:pStyle w:val="bodytextnumbered"/>
        <w:numPr>
          <w:ilvl w:val="0"/>
          <w:numId w:val="0"/>
        </w:numPr>
        <w:spacing w:after="0"/>
      </w:pPr>
    </w:p>
    <w:p w14:paraId="6B6B5D0A" w14:textId="77777777" w:rsidR="00706E7D" w:rsidRPr="00A161AC" w:rsidRDefault="00706E7D" w:rsidP="004E6ABD">
      <w:pPr>
        <w:pStyle w:val="bodytextnumbered"/>
        <w:spacing w:after="0"/>
        <w:ind w:left="357" w:hanging="357"/>
      </w:pPr>
      <w:r w:rsidRPr="00A161AC">
        <w:t>At the same time as developing plans to address the specific issues that triggered entry into the RSP, we will consider whether long-term solutions are needed to address any structural issues affecting the organisation’s ability to ensure high-quality, sustainable services for the public.</w:t>
      </w:r>
    </w:p>
    <w:p w14:paraId="0774B6AE" w14:textId="77777777" w:rsidR="008C5083" w:rsidRPr="00A161AC" w:rsidRDefault="008C5083" w:rsidP="008C5083">
      <w:pPr>
        <w:pStyle w:val="bodytextnumbered"/>
        <w:numPr>
          <w:ilvl w:val="0"/>
          <w:numId w:val="0"/>
        </w:numPr>
        <w:spacing w:after="0"/>
      </w:pPr>
    </w:p>
    <w:p w14:paraId="10DD49E3" w14:textId="77777777" w:rsidR="00706E7D" w:rsidRPr="00A161AC" w:rsidRDefault="00706E7D" w:rsidP="004E6ABD">
      <w:pPr>
        <w:pStyle w:val="bodytextnumbered"/>
        <w:spacing w:after="0"/>
        <w:ind w:left="357" w:hanging="357"/>
      </w:pPr>
      <w:r w:rsidRPr="00A161AC">
        <w:t xml:space="preserve">We will appoint an improvement director (ID) who acts on our behalf to support the development of the improvement plan to meet the agreed criteria and provide assurance of the ICB or provider’s approach to improving performance. </w:t>
      </w:r>
    </w:p>
    <w:p w14:paraId="7655EB4E" w14:textId="77777777" w:rsidR="008C5083" w:rsidRPr="00A161AC" w:rsidRDefault="008C5083" w:rsidP="008C5083">
      <w:pPr>
        <w:pStyle w:val="bodytextnumbered"/>
        <w:numPr>
          <w:ilvl w:val="0"/>
          <w:numId w:val="0"/>
        </w:numPr>
        <w:spacing w:after="0"/>
      </w:pPr>
    </w:p>
    <w:p w14:paraId="146849AE" w14:textId="77777777" w:rsidR="00706E7D" w:rsidRPr="00A161AC" w:rsidRDefault="00706E7D" w:rsidP="004E6ABD">
      <w:pPr>
        <w:pStyle w:val="bodytextnumbered"/>
        <w:spacing w:after="0"/>
        <w:ind w:left="357" w:hanging="357"/>
      </w:pPr>
      <w:r w:rsidRPr="00A161AC">
        <w:t xml:space="preserve">The ID works with the provider or ICB to coordinate necessary support from its NHS system, ourselves, the broader NHS or, where appropriate, external third parties. This could include: </w:t>
      </w:r>
    </w:p>
    <w:p w14:paraId="7FDF653C" w14:textId="77777777" w:rsidR="00706E7D" w:rsidRPr="00A161AC" w:rsidRDefault="00706E7D" w:rsidP="00444EA7">
      <w:pPr>
        <w:pStyle w:val="bodytextnumbered11"/>
        <w:spacing w:after="0"/>
        <w:ind w:left="1208" w:hanging="357"/>
      </w:pPr>
      <w:r w:rsidRPr="00A161AC">
        <w:t xml:space="preserve">intensive support for emergency and elective care; </w:t>
      </w:r>
    </w:p>
    <w:p w14:paraId="383BA483" w14:textId="77777777" w:rsidR="00706E7D" w:rsidRPr="00A161AC" w:rsidRDefault="00706E7D" w:rsidP="00444EA7">
      <w:pPr>
        <w:pStyle w:val="bodytextnumbered11"/>
        <w:spacing w:after="0"/>
        <w:ind w:left="1208" w:hanging="357"/>
      </w:pPr>
      <w:r w:rsidRPr="00A161AC">
        <w:t xml:space="preserve">intensive support to deliver the national programmes focused on reducing clinical variation across clinical pathways; </w:t>
      </w:r>
    </w:p>
    <w:p w14:paraId="6322F6DA" w14:textId="77777777" w:rsidR="00706E7D" w:rsidRPr="00A161AC" w:rsidRDefault="00706E7D" w:rsidP="00444EA7">
      <w:pPr>
        <w:pStyle w:val="bodytextnumbered11"/>
        <w:spacing w:after="0"/>
        <w:ind w:left="1208" w:hanging="357"/>
      </w:pPr>
      <w:r w:rsidRPr="00A161AC">
        <w:t xml:space="preserve">intensive support for workforce and people practices; </w:t>
      </w:r>
    </w:p>
    <w:p w14:paraId="4F64EB0D" w14:textId="77777777" w:rsidR="00706E7D" w:rsidRPr="00A161AC" w:rsidRDefault="00706E7D" w:rsidP="00444EA7">
      <w:pPr>
        <w:pStyle w:val="bodytextnumbered11"/>
        <w:spacing w:after="0"/>
        <w:ind w:left="1208" w:hanging="357"/>
      </w:pPr>
      <w:r w:rsidRPr="00A161AC">
        <w:t xml:space="preserve">financial turnaround/recovery support including specialist support, e.g. to reduce agency use, implement cost controls; </w:t>
      </w:r>
    </w:p>
    <w:p w14:paraId="6D9A341A" w14:textId="77777777" w:rsidR="00706E7D" w:rsidRPr="00A161AC" w:rsidRDefault="00706E7D" w:rsidP="00444EA7">
      <w:pPr>
        <w:pStyle w:val="bodytextnumbered11"/>
        <w:spacing w:after="0"/>
        <w:ind w:left="1208" w:hanging="357"/>
      </w:pPr>
      <w:r w:rsidRPr="00A161AC">
        <w:t>facilitating reviews such as a drivers of deficit review or a governance review;</w:t>
      </w:r>
    </w:p>
    <w:p w14:paraId="4FCDB63E" w14:textId="77777777" w:rsidR="00706E7D" w:rsidRPr="00A161AC" w:rsidRDefault="00706E7D" w:rsidP="00444EA7">
      <w:pPr>
        <w:pStyle w:val="bodytextnumbered11"/>
        <w:spacing w:after="0"/>
        <w:ind w:left="1208" w:hanging="357"/>
      </w:pPr>
      <w:r w:rsidRPr="00A161AC">
        <w:t xml:space="preserve">participation in governance and leadership programmes for improvement in challenged organisations and systems; or </w:t>
      </w:r>
    </w:p>
    <w:p w14:paraId="21D53879" w14:textId="77777777" w:rsidR="00706E7D" w:rsidRPr="00A161AC" w:rsidRDefault="00706E7D" w:rsidP="00444EA7">
      <w:pPr>
        <w:pStyle w:val="bodytextnumbered11"/>
        <w:spacing w:after="0"/>
        <w:ind w:left="1208" w:hanging="357"/>
      </w:pPr>
      <w:r w:rsidRPr="00A161AC">
        <w:t xml:space="preserve">tailored delivery of a range of improvement programmes such as ‘well-led’, ‘better tomorrow’ and ‘making data count’. </w:t>
      </w:r>
    </w:p>
    <w:p w14:paraId="6FB2B84B" w14:textId="77777777" w:rsidR="008C5083" w:rsidRPr="00A161AC" w:rsidRDefault="008C5083" w:rsidP="008C5083">
      <w:pPr>
        <w:pStyle w:val="bodytextnumbered11"/>
        <w:numPr>
          <w:ilvl w:val="0"/>
          <w:numId w:val="0"/>
        </w:numPr>
        <w:spacing w:after="0"/>
        <w:ind w:left="1208"/>
      </w:pPr>
    </w:p>
    <w:p w14:paraId="0BE44C88" w14:textId="77777777" w:rsidR="00706E7D" w:rsidRPr="00A161AC" w:rsidRDefault="00706E7D" w:rsidP="0049651D">
      <w:pPr>
        <w:pStyle w:val="bodytextnumbered"/>
        <w:spacing w:after="0"/>
        <w:ind w:left="357" w:hanging="357"/>
      </w:pPr>
      <w:r w:rsidRPr="00A161AC">
        <w:t xml:space="preserve">In addition, the following additional interventions will typically be put in place: </w:t>
      </w:r>
    </w:p>
    <w:p w14:paraId="5058B753" w14:textId="77777777" w:rsidR="00706E7D" w:rsidRPr="00A161AC" w:rsidRDefault="00706E7D" w:rsidP="00444EA7">
      <w:pPr>
        <w:pStyle w:val="bodytextnumbered11"/>
        <w:spacing w:after="0"/>
        <w:ind w:left="1208" w:hanging="357"/>
      </w:pPr>
      <w:r w:rsidRPr="00A161AC">
        <w:t xml:space="preserve">regular formal progress and challenge meetings with our executives; and </w:t>
      </w:r>
    </w:p>
    <w:p w14:paraId="767DD4A6" w14:textId="365501BF" w:rsidR="00706E7D" w:rsidRPr="00A161AC" w:rsidRDefault="00706E7D" w:rsidP="00444EA7">
      <w:pPr>
        <w:pStyle w:val="bodytextnumbered11"/>
        <w:spacing w:after="0"/>
        <w:ind w:left="1208" w:hanging="357"/>
      </w:pPr>
      <w:r w:rsidRPr="00A161AC">
        <w:t>Board vacancies filled at our direction (providers only).</w:t>
      </w:r>
    </w:p>
    <w:p w14:paraId="47166917" w14:textId="77777777" w:rsidR="008C5083" w:rsidRPr="00A161AC" w:rsidRDefault="008C5083" w:rsidP="008C5083">
      <w:pPr>
        <w:pStyle w:val="bodytextnumbered11"/>
        <w:numPr>
          <w:ilvl w:val="0"/>
          <w:numId w:val="0"/>
        </w:numPr>
        <w:spacing w:after="0"/>
        <w:ind w:left="851"/>
      </w:pPr>
    </w:p>
    <w:p w14:paraId="5453DAEA" w14:textId="77777777" w:rsidR="001B4B97" w:rsidRPr="00A161AC" w:rsidRDefault="001B4B97" w:rsidP="0049651D">
      <w:pPr>
        <w:pStyle w:val="bodytextnumbered"/>
        <w:spacing w:after="0"/>
        <w:ind w:left="357" w:hanging="357"/>
      </w:pPr>
      <w:r w:rsidRPr="00A161AC">
        <w:lastRenderedPageBreak/>
        <w:t xml:space="preserve">For particularly challenged systems, further interventions may include: </w:t>
      </w:r>
    </w:p>
    <w:p w14:paraId="30023187" w14:textId="75F50E01" w:rsidR="001B4B97" w:rsidRPr="00A161AC" w:rsidRDefault="00786FAC" w:rsidP="00444EA7">
      <w:pPr>
        <w:pStyle w:val="bodytextnumbered11"/>
        <w:spacing w:after="0"/>
        <w:ind w:left="1208" w:hanging="357"/>
      </w:pPr>
      <w:r w:rsidRPr="00A161AC">
        <w:t>NHS England</w:t>
      </w:r>
      <w:r w:rsidR="001B4B97" w:rsidRPr="00A161AC">
        <w:t xml:space="preserve"> appointing a Board adviser; </w:t>
      </w:r>
    </w:p>
    <w:p w14:paraId="5F32DECF" w14:textId="77777777" w:rsidR="001B4B97" w:rsidRPr="00A161AC" w:rsidRDefault="001B4B97" w:rsidP="00444EA7">
      <w:pPr>
        <w:pStyle w:val="bodytextnumbered11"/>
        <w:spacing w:after="0"/>
        <w:ind w:left="1208" w:hanging="357"/>
      </w:pPr>
      <w:r w:rsidRPr="00A161AC">
        <w:t xml:space="preserve">enhanced reporting requirements; or </w:t>
      </w:r>
    </w:p>
    <w:p w14:paraId="3D9A9214" w14:textId="77777777" w:rsidR="001B4B97" w:rsidRPr="00A161AC" w:rsidRDefault="001B4B97" w:rsidP="00444EA7">
      <w:pPr>
        <w:pStyle w:val="bodytextnumbered11"/>
        <w:spacing w:after="0"/>
        <w:ind w:left="1208" w:hanging="357"/>
      </w:pPr>
      <w:r w:rsidRPr="00A161AC">
        <w:t>enhanced financial controls including:</w:t>
      </w:r>
    </w:p>
    <w:p w14:paraId="707DB8AF" w14:textId="77777777" w:rsidR="001B4B97" w:rsidRPr="00A161AC" w:rsidRDefault="001B4B97" w:rsidP="00444EA7">
      <w:pPr>
        <w:pStyle w:val="bodytextnumbered111"/>
        <w:spacing w:after="0"/>
        <w:ind w:left="1491" w:hanging="357"/>
      </w:pPr>
      <w:r w:rsidRPr="00A161AC">
        <w:t>Rapid roll-out of core controls over expenditure and core drivers of expenditure, including both pay and non-pay, as well as all commissioning decisions relating to CHC and primary care, along with other measures to immediately strengthen financial control, in line with those set out in NHS England guidance, including the ‘Grip and Control’ checklist;</w:t>
      </w:r>
    </w:p>
    <w:p w14:paraId="35769C2A" w14:textId="77777777" w:rsidR="001B4B97" w:rsidRPr="00A161AC" w:rsidRDefault="001B4B97" w:rsidP="00444EA7">
      <w:pPr>
        <w:pStyle w:val="bodytextnumbered111"/>
        <w:spacing w:after="0"/>
        <w:ind w:left="1491" w:hanging="357"/>
      </w:pPr>
      <w:r w:rsidRPr="00A161AC">
        <w:t xml:space="preserve">NHS England control of applications for Department of Health and Social Care financing (providers); </w:t>
      </w:r>
    </w:p>
    <w:p w14:paraId="2251BA65" w14:textId="77777777" w:rsidR="001B4B97" w:rsidRPr="00A161AC" w:rsidRDefault="001B4B97" w:rsidP="00444EA7">
      <w:pPr>
        <w:pStyle w:val="bodytextnumbered111"/>
        <w:spacing w:after="0"/>
        <w:ind w:left="1491" w:hanging="357"/>
      </w:pPr>
      <w:r w:rsidRPr="00A161AC">
        <w:t>‘Triple lock’ mechanism, requiring ICB and NHS England approval of spend over an agreed limit;</w:t>
      </w:r>
    </w:p>
    <w:p w14:paraId="346884F1" w14:textId="77777777" w:rsidR="001B4B97" w:rsidRPr="00A161AC" w:rsidRDefault="001B4B97" w:rsidP="00444EA7">
      <w:pPr>
        <w:pStyle w:val="bodytextnumbered111"/>
        <w:spacing w:after="0"/>
        <w:ind w:left="1491" w:hanging="357"/>
      </w:pPr>
      <w:r w:rsidRPr="00A161AC">
        <w:t>Reduced capital approval limits (providers), reduction in capital envelope, and also a suspension of any capital investments that have a negative revenue impact;</w:t>
      </w:r>
    </w:p>
    <w:p w14:paraId="28C0D9A2" w14:textId="77777777" w:rsidR="001B4B97" w:rsidRPr="00A161AC" w:rsidRDefault="001B4B97" w:rsidP="00444EA7">
      <w:pPr>
        <w:pStyle w:val="bodytextnumbered111"/>
        <w:spacing w:after="0"/>
        <w:ind w:left="1491" w:hanging="357"/>
      </w:pPr>
      <w:r w:rsidRPr="00A161AC">
        <w:t>Enhanced reporting of financial and operational position including additional detail on staffing, evidence of operation of controls, and progress with efficiency and financial recovery plans; and</w:t>
      </w:r>
    </w:p>
    <w:p w14:paraId="0969EBA7" w14:textId="77777777" w:rsidR="001B4B97" w:rsidRPr="00A161AC" w:rsidRDefault="001B4B97" w:rsidP="00444EA7">
      <w:pPr>
        <w:pStyle w:val="bodytextnumbered111"/>
        <w:spacing w:after="0"/>
        <w:ind w:left="1491" w:hanging="357"/>
      </w:pPr>
      <w:r w:rsidRPr="00A161AC">
        <w:t>Independent review of expenditure controls to ensure that they are comprehensive, well-designed, effective and have appropriate board-level oversight.</w:t>
      </w:r>
    </w:p>
    <w:p w14:paraId="1150BB37" w14:textId="77777777" w:rsidR="008C5083" w:rsidRPr="00A161AC" w:rsidRDefault="008C5083" w:rsidP="008C5083">
      <w:pPr>
        <w:pStyle w:val="bodytextnumbered111"/>
        <w:numPr>
          <w:ilvl w:val="0"/>
          <w:numId w:val="0"/>
        </w:numPr>
        <w:spacing w:after="0"/>
        <w:ind w:left="1491"/>
      </w:pPr>
    </w:p>
    <w:p w14:paraId="40F38D37" w14:textId="77777777" w:rsidR="001B4B97" w:rsidRPr="00A161AC" w:rsidRDefault="001B4B97" w:rsidP="0049651D">
      <w:pPr>
        <w:pStyle w:val="bodytextnumbered"/>
        <w:spacing w:after="0"/>
        <w:ind w:left="357" w:hanging="357"/>
      </w:pPr>
      <w:r w:rsidRPr="00A161AC">
        <w:t xml:space="preserve">The interventions listed above may be supported or implemented using formal enforcement action. </w:t>
      </w:r>
    </w:p>
    <w:p w14:paraId="4547F64C" w14:textId="77777777" w:rsidR="008C5083" w:rsidRPr="00A161AC" w:rsidRDefault="008C5083" w:rsidP="008C5083">
      <w:pPr>
        <w:pStyle w:val="bodytextnumbered"/>
        <w:numPr>
          <w:ilvl w:val="0"/>
          <w:numId w:val="0"/>
        </w:numPr>
        <w:spacing w:after="0"/>
        <w:ind w:left="357"/>
      </w:pPr>
    </w:p>
    <w:p w14:paraId="5A7D5384" w14:textId="77777777" w:rsidR="00706E7D" w:rsidRPr="00A161AC" w:rsidRDefault="00706E7D" w:rsidP="0049651D">
      <w:pPr>
        <w:pStyle w:val="bodytextnumbered"/>
        <w:spacing w:after="0"/>
        <w:ind w:left="357" w:hanging="357"/>
      </w:pPr>
      <w:r w:rsidRPr="00A161AC">
        <w:t>Any change in transition criteria, planned timelines, or major support resets would need to be agreed through the relevant executive governance.</w:t>
      </w:r>
    </w:p>
    <w:p w14:paraId="1ABF6BF9" w14:textId="77777777" w:rsidR="008C5083" w:rsidRPr="00A161AC" w:rsidRDefault="008C5083" w:rsidP="008C5083">
      <w:pPr>
        <w:pStyle w:val="bodytextnumbered"/>
        <w:numPr>
          <w:ilvl w:val="0"/>
          <w:numId w:val="0"/>
        </w:numPr>
        <w:spacing w:after="0"/>
      </w:pPr>
    </w:p>
    <w:p w14:paraId="14F9D54F" w14:textId="77777777" w:rsidR="00706E7D" w:rsidRPr="00A161AC" w:rsidRDefault="00706E7D" w:rsidP="0049651D">
      <w:pPr>
        <w:pStyle w:val="bodytextnumbered"/>
        <w:spacing w:after="0"/>
        <w:ind w:left="357" w:hanging="357"/>
      </w:pPr>
      <w:r w:rsidRPr="00A161AC">
        <w:t xml:space="preserve">For providers, we will ensure they address any urgent patient safety and quality issues identified as a priority. The CQC will continue to monitor quality at the provider and if at any time patients are at immediate serious risk of harm, the CQC can use its urgent powers to safeguard them. </w:t>
      </w:r>
    </w:p>
    <w:p w14:paraId="533642AE" w14:textId="77777777" w:rsidR="008C5083" w:rsidRPr="00A161AC" w:rsidRDefault="008C5083" w:rsidP="008C5083">
      <w:pPr>
        <w:pStyle w:val="bodytextnumbered"/>
        <w:numPr>
          <w:ilvl w:val="0"/>
          <w:numId w:val="0"/>
        </w:numPr>
        <w:spacing w:after="0"/>
      </w:pPr>
    </w:p>
    <w:p w14:paraId="4F78EFD2" w14:textId="77777777" w:rsidR="00706E7D" w:rsidRPr="00A161AC" w:rsidRDefault="00706E7D" w:rsidP="00706E7D">
      <w:pPr>
        <w:rPr>
          <w:b/>
          <w:bCs/>
          <w:color w:val="003087" w:themeColor="accent1"/>
          <w:sz w:val="28"/>
          <w:szCs w:val="28"/>
        </w:rPr>
      </w:pPr>
      <w:r w:rsidRPr="00A161AC">
        <w:rPr>
          <w:b/>
          <w:bCs/>
          <w:color w:val="003087" w:themeColor="accent1"/>
          <w:sz w:val="28"/>
          <w:szCs w:val="28"/>
        </w:rPr>
        <w:t>Transition from the RSP</w:t>
      </w:r>
    </w:p>
    <w:p w14:paraId="71BF6BE9" w14:textId="292416AD" w:rsidR="008C5083" w:rsidRPr="00A161AC" w:rsidRDefault="00706E7D" w:rsidP="008C5083">
      <w:pPr>
        <w:pStyle w:val="bodytextnumbered"/>
        <w:spacing w:after="0"/>
        <w:ind w:left="357" w:hanging="357"/>
      </w:pPr>
      <w:r w:rsidRPr="00A161AC">
        <w:t xml:space="preserve">Transition from the RSP will ordinarily occur when it can be demonstrated that the transition criteria have been met sustainably. Over time, it may be necessary to review or revise these criteria – any change to transition criteria or planned timeline must be approved through the relevant executive governance. </w:t>
      </w:r>
    </w:p>
    <w:p w14:paraId="0E06116E" w14:textId="6886C1C4" w:rsidR="00706E7D" w:rsidRPr="00A161AC" w:rsidRDefault="00706E7D" w:rsidP="0049651D">
      <w:pPr>
        <w:pStyle w:val="bodytextnumbered"/>
        <w:spacing w:after="0"/>
        <w:ind w:left="357" w:hanging="357"/>
      </w:pPr>
      <w:r w:rsidRPr="00A161AC">
        <w:lastRenderedPageBreak/>
        <w:t>When making a decision to approve the transition to Segment 3, we will consider the proposed transitional support package that may be needed when an ICB or provider enters Segment 3 to ensure improvement is sustained.</w:t>
      </w:r>
    </w:p>
    <w:p w14:paraId="4CE3419F" w14:textId="77777777" w:rsidR="008C5083" w:rsidRPr="00A161AC" w:rsidRDefault="008C5083" w:rsidP="008C5083">
      <w:pPr>
        <w:pStyle w:val="bodytextnumbered"/>
        <w:numPr>
          <w:ilvl w:val="0"/>
          <w:numId w:val="0"/>
        </w:numPr>
        <w:spacing w:after="0"/>
        <w:ind w:left="357"/>
      </w:pPr>
    </w:p>
    <w:p w14:paraId="19D76821" w14:textId="77777777" w:rsidR="00706E7D" w:rsidRPr="00A161AC" w:rsidRDefault="00706E7D" w:rsidP="0049651D">
      <w:pPr>
        <w:pStyle w:val="bodytextnumbered"/>
        <w:spacing w:after="0"/>
        <w:ind w:left="357" w:hanging="357"/>
      </w:pPr>
      <w:r w:rsidRPr="00A161AC">
        <w:t xml:space="preserve">Until we are satisfied that the transition criteria have been met (or are not on track to be met sustainably), the organisation will remain in the programme to allow the necessary improvements to be made. This might occur, for example, when there have been changes to the leadership team and more time is needed for the new team to bring about change. In the case of an extension to the planned timeline, the ICB or provider will prepare a revised planned timeline and improvement plan with their ID that lists actions to address any outstanding or new concerns. </w:t>
      </w:r>
    </w:p>
    <w:p w14:paraId="0F81113F" w14:textId="77777777" w:rsidR="008C5083" w:rsidRPr="00A161AC" w:rsidRDefault="008C5083" w:rsidP="008C5083">
      <w:pPr>
        <w:pStyle w:val="bodytextnumbered"/>
        <w:numPr>
          <w:ilvl w:val="0"/>
          <w:numId w:val="0"/>
        </w:numPr>
        <w:spacing w:after="0"/>
      </w:pPr>
    </w:p>
    <w:p w14:paraId="09A92CF8" w14:textId="2D42D6BB" w:rsidR="006A5447" w:rsidRPr="00A161AC" w:rsidRDefault="00706E7D" w:rsidP="0049651D">
      <w:pPr>
        <w:pStyle w:val="bodytextnumbered"/>
        <w:spacing w:after="0"/>
        <w:ind w:left="357" w:hanging="357"/>
      </w:pPr>
      <w:r w:rsidRPr="00A161AC">
        <w:t>We will inform the organisation of our decision to approve the transition to Segment 3, thereby exiting the RSP, once it has completed its formal decision-making processes. We will then share our decision publicly on our website.</w:t>
      </w:r>
    </w:p>
    <w:p w14:paraId="7834A051" w14:textId="77777777" w:rsidR="006A5447" w:rsidRPr="00A161AC" w:rsidRDefault="006A5447">
      <w:pPr>
        <w:spacing w:after="0" w:line="240" w:lineRule="auto"/>
        <w:textboxTightWrap w:val="none"/>
      </w:pPr>
      <w:r w:rsidRPr="00A161AC">
        <w:br w:type="page"/>
      </w:r>
    </w:p>
    <w:p w14:paraId="49B3AB9E" w14:textId="77777777" w:rsidR="006A5447" w:rsidRPr="00A161AC" w:rsidRDefault="006A5447" w:rsidP="006A5447">
      <w:pPr>
        <w:pStyle w:val="bodytextnumbered"/>
        <w:numPr>
          <w:ilvl w:val="0"/>
          <w:numId w:val="0"/>
        </w:numPr>
        <w:ind w:left="567" w:hanging="567"/>
        <w:sectPr w:rsidR="006A5447" w:rsidRPr="00A161AC" w:rsidSect="006E32A3">
          <w:pgSz w:w="11906" w:h="16838"/>
          <w:pgMar w:top="1021" w:right="1021" w:bottom="1021" w:left="1021" w:header="454" w:footer="556" w:gutter="0"/>
          <w:cols w:space="708"/>
          <w:docGrid w:linePitch="360"/>
        </w:sectPr>
      </w:pPr>
    </w:p>
    <w:p w14:paraId="5DCD6FB2" w14:textId="1224F3CD" w:rsidR="004A17C5" w:rsidRPr="00A161AC" w:rsidRDefault="006A5447" w:rsidP="006A5447">
      <w:pPr>
        <w:pStyle w:val="Heading2"/>
      </w:pPr>
      <w:bookmarkStart w:id="30" w:name="_Toc163574934"/>
      <w:r w:rsidRPr="00A161AC">
        <w:lastRenderedPageBreak/>
        <w:t>Annex D</w:t>
      </w:r>
      <w:r w:rsidR="003F313B" w:rsidRPr="00A161AC">
        <w:t>:</w:t>
      </w:r>
      <w:r w:rsidRPr="00A161AC">
        <w:t xml:space="preserve"> 2024/25 Oversight Framework delivery metrics</w:t>
      </w:r>
      <w:bookmarkEnd w:id="30"/>
    </w:p>
    <w:tbl>
      <w:tblPr>
        <w:tblStyle w:val="TableGrid2"/>
        <w:tblpPr w:leftFromText="180" w:rightFromText="180" w:vertAnchor="text" w:tblpX="-477" w:tblpY="1"/>
        <w:tblOverlap w:val="never"/>
        <w:tblW w:w="15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464"/>
        <w:gridCol w:w="2551"/>
        <w:gridCol w:w="2552"/>
        <w:gridCol w:w="2552"/>
        <w:gridCol w:w="2552"/>
        <w:gridCol w:w="2552"/>
      </w:tblGrid>
      <w:tr w:rsidR="006A5447" w:rsidRPr="00A161AC" w14:paraId="6AEFFEFE" w14:textId="77777777" w:rsidTr="006A5447">
        <w:trPr>
          <w:cnfStyle w:val="100000000000" w:firstRow="1" w:lastRow="0" w:firstColumn="0" w:lastColumn="0" w:oddVBand="0" w:evenVBand="0" w:oddHBand="0" w:evenHBand="0" w:firstRowFirstColumn="0" w:firstRowLastColumn="0" w:lastRowFirstColumn="0" w:lastRowLastColumn="0"/>
          <w:trHeight w:val="557"/>
          <w:tblHeader/>
        </w:trPr>
        <w:tc>
          <w:tcPr>
            <w:tcW w:w="1554"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1F4F4005" w14:textId="77777777" w:rsidR="006A5447" w:rsidRPr="00A161AC" w:rsidRDefault="006A5447" w:rsidP="006A5447">
            <w:pPr>
              <w:spacing w:after="0" w:line="240" w:lineRule="auto"/>
              <w:jc w:val="center"/>
              <w:textboxTightWrap w:val="none"/>
              <w:rPr>
                <w:bCs/>
                <w:color w:val="FFFFFF"/>
                <w:sz w:val="22"/>
                <w:szCs w:val="22"/>
                <w:lang w:bidi="en-US"/>
              </w:rPr>
            </w:pPr>
            <w:r w:rsidRPr="00A161AC">
              <w:rPr>
                <w:bCs/>
                <w:color w:val="FFFFFF"/>
                <w:sz w:val="22"/>
                <w:szCs w:val="22"/>
                <w:lang w:bidi="en-US"/>
              </w:rPr>
              <w:t>Delivery domain</w:t>
            </w:r>
          </w:p>
        </w:tc>
        <w:tc>
          <w:tcPr>
            <w:tcW w:w="1464"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3E57D47C" w14:textId="77777777" w:rsidR="006A5447" w:rsidRPr="00A161AC" w:rsidRDefault="006A5447" w:rsidP="006A5447">
            <w:pPr>
              <w:spacing w:after="0" w:line="240" w:lineRule="auto"/>
              <w:jc w:val="center"/>
              <w:textboxTightWrap w:val="none"/>
              <w:rPr>
                <w:bCs/>
                <w:color w:val="FFFFFF"/>
                <w:sz w:val="22"/>
                <w:szCs w:val="22"/>
                <w:lang w:bidi="en-US"/>
              </w:rPr>
            </w:pPr>
            <w:r w:rsidRPr="00A161AC">
              <w:rPr>
                <w:bCs/>
                <w:color w:val="FFFFFF"/>
                <w:sz w:val="22"/>
                <w:szCs w:val="22"/>
                <w:lang w:bidi="en-US"/>
              </w:rPr>
              <w:t>Sub-domain</w:t>
            </w:r>
          </w:p>
        </w:tc>
        <w:tc>
          <w:tcPr>
            <w:tcW w:w="2551"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4A7F7CA0" w14:textId="77777777" w:rsidR="006A5447" w:rsidRPr="00A161AC" w:rsidRDefault="006A5447" w:rsidP="006A5447">
            <w:pPr>
              <w:spacing w:after="0" w:line="240" w:lineRule="auto"/>
              <w:jc w:val="center"/>
              <w:textboxTightWrap w:val="none"/>
              <w:rPr>
                <w:bCs/>
                <w:color w:val="FFFFFF"/>
                <w:sz w:val="22"/>
                <w:szCs w:val="22"/>
                <w:lang w:bidi="en-US"/>
              </w:rPr>
            </w:pPr>
            <w:r w:rsidRPr="00A161AC">
              <w:rPr>
                <w:bCs/>
                <w:color w:val="FFFFFF"/>
                <w:sz w:val="22"/>
                <w:szCs w:val="22"/>
                <w:lang w:bidi="en-US"/>
              </w:rPr>
              <w:t>ICB headline metrics</w:t>
            </w:r>
          </w:p>
        </w:tc>
        <w:tc>
          <w:tcPr>
            <w:tcW w:w="2552"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17DCEF54" w14:textId="77777777" w:rsidR="006A5447" w:rsidRPr="00A161AC" w:rsidRDefault="006A5447" w:rsidP="006A5447">
            <w:pPr>
              <w:spacing w:after="0" w:line="240" w:lineRule="auto"/>
              <w:jc w:val="center"/>
              <w:textboxTightWrap w:val="none"/>
              <w:rPr>
                <w:bCs/>
                <w:color w:val="FFFFFF"/>
                <w:sz w:val="22"/>
                <w:szCs w:val="22"/>
                <w:lang w:bidi="en-US"/>
              </w:rPr>
            </w:pPr>
            <w:r w:rsidRPr="00A161AC">
              <w:rPr>
                <w:bCs/>
                <w:color w:val="FFFFFF"/>
                <w:sz w:val="22"/>
                <w:szCs w:val="22"/>
                <w:lang w:bidi="en-US"/>
              </w:rPr>
              <w:t>Acute provider   headline metrics</w:t>
            </w:r>
          </w:p>
        </w:tc>
        <w:tc>
          <w:tcPr>
            <w:tcW w:w="2552"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11D61DE5" w14:textId="77777777" w:rsidR="006A5447" w:rsidRPr="00A161AC" w:rsidRDefault="006A5447" w:rsidP="006A5447">
            <w:pPr>
              <w:spacing w:after="0" w:line="240" w:lineRule="auto"/>
              <w:jc w:val="center"/>
              <w:textboxTightWrap w:val="none"/>
              <w:rPr>
                <w:bCs/>
                <w:color w:val="FFFFFF"/>
                <w:sz w:val="22"/>
                <w:szCs w:val="22"/>
                <w:lang w:bidi="en-US"/>
              </w:rPr>
            </w:pPr>
            <w:r w:rsidRPr="00A161AC">
              <w:rPr>
                <w:bCs/>
                <w:color w:val="FFFFFF"/>
                <w:sz w:val="22"/>
                <w:szCs w:val="22"/>
                <w:lang w:bidi="en-US"/>
              </w:rPr>
              <w:t>Community provider headline metrics</w:t>
            </w:r>
          </w:p>
        </w:tc>
        <w:tc>
          <w:tcPr>
            <w:tcW w:w="2552" w:type="dxa"/>
            <w:tcBorders>
              <w:top w:val="single" w:sz="4" w:space="0" w:color="auto"/>
              <w:left w:val="single" w:sz="4" w:space="0" w:color="auto"/>
              <w:bottom w:val="single" w:sz="4" w:space="0" w:color="auto"/>
              <w:right w:val="single" w:sz="4" w:space="0" w:color="auto"/>
            </w:tcBorders>
            <w:shd w:val="clear" w:color="auto" w:fill="4F81BD"/>
            <w:vAlign w:val="center"/>
          </w:tcPr>
          <w:p w14:paraId="5E458C64" w14:textId="77777777" w:rsidR="006A5447" w:rsidRPr="00A161AC" w:rsidRDefault="006A5447" w:rsidP="006A5447">
            <w:pPr>
              <w:spacing w:after="0" w:line="240" w:lineRule="auto"/>
              <w:jc w:val="center"/>
              <w:textboxTightWrap w:val="none"/>
              <w:rPr>
                <w:bCs/>
                <w:color w:val="FFFFFF"/>
                <w:sz w:val="22"/>
                <w:szCs w:val="22"/>
                <w:lang w:bidi="en-US"/>
              </w:rPr>
            </w:pPr>
            <w:r w:rsidRPr="00A161AC">
              <w:rPr>
                <w:bCs/>
                <w:color w:val="FFFFFF"/>
                <w:sz w:val="22"/>
                <w:szCs w:val="22"/>
                <w:lang w:bidi="en-US"/>
              </w:rPr>
              <w:t>Mental health provider headline metrics</w:t>
            </w:r>
          </w:p>
        </w:tc>
        <w:tc>
          <w:tcPr>
            <w:tcW w:w="2552" w:type="dxa"/>
            <w:tcBorders>
              <w:top w:val="single" w:sz="4" w:space="0" w:color="auto"/>
              <w:left w:val="single" w:sz="4" w:space="0" w:color="auto"/>
              <w:bottom w:val="single" w:sz="4" w:space="0" w:color="auto"/>
              <w:right w:val="single" w:sz="4" w:space="0" w:color="auto"/>
            </w:tcBorders>
            <w:shd w:val="clear" w:color="auto" w:fill="4F81BD"/>
            <w:vAlign w:val="center"/>
          </w:tcPr>
          <w:p w14:paraId="2D27CCFE" w14:textId="77777777" w:rsidR="006A5447" w:rsidRPr="00A161AC" w:rsidRDefault="006A5447" w:rsidP="006A5447">
            <w:pPr>
              <w:spacing w:after="0" w:line="240" w:lineRule="auto"/>
              <w:jc w:val="center"/>
              <w:textboxTightWrap w:val="none"/>
              <w:rPr>
                <w:bCs/>
                <w:color w:val="FFFFFF"/>
                <w:sz w:val="22"/>
                <w:szCs w:val="22"/>
                <w:lang w:bidi="en-US"/>
              </w:rPr>
            </w:pPr>
            <w:r w:rsidRPr="00A161AC">
              <w:rPr>
                <w:bCs/>
                <w:color w:val="FFFFFF"/>
                <w:sz w:val="22"/>
                <w:szCs w:val="22"/>
                <w:lang w:bidi="en-US"/>
              </w:rPr>
              <w:t>Ambulance provider headline metrics</w:t>
            </w:r>
          </w:p>
        </w:tc>
      </w:tr>
      <w:tr w:rsidR="006A5447" w:rsidRPr="00A161AC" w14:paraId="47D78E06" w14:textId="77777777" w:rsidTr="006A5447">
        <w:trPr>
          <w:trHeight w:val="150"/>
        </w:trPr>
        <w:tc>
          <w:tcPr>
            <w:tcW w:w="1554" w:type="dxa"/>
            <w:vMerge w:val="restart"/>
            <w:tcBorders>
              <w:top w:val="single" w:sz="4" w:space="0" w:color="auto"/>
              <w:left w:val="single" w:sz="4" w:space="0" w:color="auto"/>
              <w:right w:val="single" w:sz="4" w:space="0" w:color="auto"/>
            </w:tcBorders>
            <w:shd w:val="clear" w:color="auto" w:fill="FFFFFF"/>
            <w:vAlign w:val="center"/>
            <w:hideMark/>
          </w:tcPr>
          <w:p w14:paraId="1416447F" w14:textId="77777777" w:rsidR="006A5447" w:rsidRPr="00A161AC" w:rsidRDefault="006A5447" w:rsidP="006A5447">
            <w:pPr>
              <w:spacing w:after="0" w:line="0" w:lineRule="atLeast"/>
              <w:textboxTightWrap w:val="none"/>
              <w:rPr>
                <w:color w:val="auto"/>
                <w:sz w:val="22"/>
                <w:szCs w:val="22"/>
                <w:lang w:bidi="en-US"/>
              </w:rPr>
            </w:pPr>
            <w:r w:rsidRPr="00A161AC">
              <w:rPr>
                <w:color w:val="auto"/>
                <w:sz w:val="22"/>
                <w:szCs w:val="22"/>
                <w:lang w:bidi="en-US"/>
              </w:rPr>
              <w:t>(A) Improve outcomes in population health and healthcare</w:t>
            </w:r>
          </w:p>
        </w:tc>
        <w:tc>
          <w:tcPr>
            <w:tcW w:w="1464" w:type="dxa"/>
            <w:vMerge w:val="restart"/>
            <w:tcBorders>
              <w:top w:val="single" w:sz="4" w:space="0" w:color="auto"/>
              <w:left w:val="single" w:sz="4" w:space="0" w:color="auto"/>
              <w:right w:val="single" w:sz="4" w:space="0" w:color="auto"/>
            </w:tcBorders>
            <w:shd w:val="clear" w:color="auto" w:fill="FFFFFF"/>
            <w:vAlign w:val="center"/>
            <w:hideMark/>
          </w:tcPr>
          <w:p w14:paraId="354E771B"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(1) Elective care</w:t>
            </w:r>
          </w:p>
        </w:tc>
        <w:tc>
          <w:tcPr>
            <w:tcW w:w="2551" w:type="dxa"/>
            <w:vMerge w:val="restart"/>
            <w:tcBorders>
              <w:top w:val="single" w:sz="4" w:space="0" w:color="auto"/>
              <w:left w:val="single" w:sz="4" w:space="0" w:color="auto"/>
              <w:right w:val="single" w:sz="4" w:space="0" w:color="auto"/>
            </w:tcBorders>
            <w:shd w:val="clear" w:color="auto" w:fill="FFFFFF"/>
            <w:vAlign w:val="center"/>
            <w:hideMark/>
          </w:tcPr>
          <w:p w14:paraId="1E3C1EC7"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Proportion of the weighted population on an elective waiting list</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57537"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Total 104 week waits</w:t>
            </w:r>
          </w:p>
        </w:tc>
        <w:tc>
          <w:tcPr>
            <w:tcW w:w="2552" w:type="dxa"/>
            <w:vMerge w:val="restart"/>
            <w:tcBorders>
              <w:top w:val="single" w:sz="4" w:space="0" w:color="auto"/>
              <w:left w:val="single" w:sz="4" w:space="0" w:color="auto"/>
              <w:right w:val="single" w:sz="4" w:space="0" w:color="auto"/>
            </w:tcBorders>
            <w:shd w:val="clear" w:color="auto" w:fill="FFFFFF"/>
            <w:vAlign w:val="center"/>
            <w:hideMark/>
          </w:tcPr>
          <w:p w14:paraId="4C1E65F1"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Number of patients waiting over 18 weeks for priority services</w:t>
            </w:r>
          </w:p>
        </w:tc>
        <w:tc>
          <w:tcPr>
            <w:tcW w:w="2552" w:type="dxa"/>
            <w:vMerge w:val="restart"/>
            <w:tcBorders>
              <w:top w:val="single" w:sz="4" w:space="0" w:color="auto"/>
              <w:left w:val="single" w:sz="4" w:space="0" w:color="auto"/>
              <w:right w:val="single" w:sz="4" w:space="0" w:color="auto"/>
            </w:tcBorders>
            <w:shd w:val="clear" w:color="auto" w:fill="FFFFFF"/>
            <w:vAlign w:val="center"/>
          </w:tcPr>
          <w:p w14:paraId="4539B9C6"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Number of open referrals to NHS Talking Therapies with no activity for over 120 days</w:t>
            </w:r>
          </w:p>
        </w:tc>
        <w:tc>
          <w:tcPr>
            <w:tcW w:w="2552" w:type="dxa"/>
            <w:vMerge w:val="restart"/>
            <w:tcBorders>
              <w:top w:val="single" w:sz="4" w:space="0" w:color="auto"/>
              <w:left w:val="single" w:sz="4" w:space="0" w:color="auto"/>
              <w:right w:val="single" w:sz="4" w:space="0" w:color="auto"/>
            </w:tcBorders>
            <w:shd w:val="clear" w:color="auto" w:fill="FFFFFF"/>
            <w:vAlign w:val="center"/>
          </w:tcPr>
          <w:p w14:paraId="5298B7FF"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To be developed in year 1</w:t>
            </w:r>
          </w:p>
        </w:tc>
      </w:tr>
      <w:tr w:rsidR="006A5447" w:rsidRPr="00A161AC" w14:paraId="63D773CB" w14:textId="77777777" w:rsidTr="006A5447">
        <w:trPr>
          <w:trHeight w:val="147"/>
        </w:trPr>
        <w:tc>
          <w:tcPr>
            <w:tcW w:w="1554" w:type="dxa"/>
            <w:vMerge/>
            <w:tcBorders>
              <w:left w:val="single" w:sz="4" w:space="0" w:color="auto"/>
              <w:right w:val="single" w:sz="4" w:space="0" w:color="auto"/>
            </w:tcBorders>
            <w:shd w:val="clear" w:color="auto" w:fill="FFFFFF"/>
            <w:vAlign w:val="center"/>
          </w:tcPr>
          <w:p w14:paraId="33705499" w14:textId="77777777" w:rsidR="006A5447" w:rsidRPr="00A161AC" w:rsidRDefault="006A5447" w:rsidP="006A5447">
            <w:pPr>
              <w:spacing w:after="0" w:line="0" w:lineRule="atLeast"/>
              <w:ind w:left="113"/>
              <w:textboxTightWrap w:val="none"/>
              <w:rPr>
                <w:color w:val="auto"/>
                <w:sz w:val="22"/>
                <w:szCs w:val="22"/>
                <w:lang w:bidi="en-US"/>
              </w:rPr>
            </w:pPr>
          </w:p>
        </w:tc>
        <w:tc>
          <w:tcPr>
            <w:tcW w:w="1464" w:type="dxa"/>
            <w:vMerge/>
            <w:tcBorders>
              <w:left w:val="single" w:sz="4" w:space="0" w:color="auto"/>
              <w:right w:val="single" w:sz="4" w:space="0" w:color="auto"/>
            </w:tcBorders>
            <w:shd w:val="clear" w:color="auto" w:fill="FFFFFF"/>
            <w:vAlign w:val="center"/>
          </w:tcPr>
          <w:p w14:paraId="776A31F1" w14:textId="77777777" w:rsidR="006A5447" w:rsidRPr="00A161AC" w:rsidRDefault="006A5447" w:rsidP="006A5447">
            <w:pPr>
              <w:spacing w:after="0" w:line="0" w:lineRule="atLeast"/>
              <w:jc w:val="center"/>
              <w:textboxTightWrap w:val="none"/>
              <w:rPr>
                <w:color w:val="auto"/>
                <w:sz w:val="22"/>
                <w:szCs w:val="22"/>
                <w:lang w:bidi="en-US"/>
              </w:rPr>
            </w:pPr>
          </w:p>
        </w:tc>
        <w:tc>
          <w:tcPr>
            <w:tcW w:w="2551" w:type="dxa"/>
            <w:vMerge/>
            <w:tcBorders>
              <w:left w:val="single" w:sz="4" w:space="0" w:color="auto"/>
              <w:right w:val="single" w:sz="4" w:space="0" w:color="auto"/>
            </w:tcBorders>
            <w:shd w:val="clear" w:color="auto" w:fill="FFFFFF"/>
            <w:vAlign w:val="center"/>
          </w:tcPr>
          <w:p w14:paraId="400AEBE1" w14:textId="77777777" w:rsidR="006A5447" w:rsidRPr="00A161AC" w:rsidRDefault="006A5447" w:rsidP="006A5447">
            <w:pPr>
              <w:spacing w:after="0" w:line="0" w:lineRule="atLeast"/>
              <w:jc w:val="center"/>
              <w:textboxTightWrap w:val="none"/>
              <w:rPr>
                <w:color w:val="auto"/>
                <w:sz w:val="22"/>
                <w:szCs w:val="22"/>
                <w:lang w:bidi="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E07DDFE"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Total 78 week waits</w:t>
            </w:r>
          </w:p>
        </w:tc>
        <w:tc>
          <w:tcPr>
            <w:tcW w:w="2552" w:type="dxa"/>
            <w:vMerge/>
            <w:tcBorders>
              <w:left w:val="single" w:sz="4" w:space="0" w:color="auto"/>
              <w:right w:val="single" w:sz="4" w:space="0" w:color="auto"/>
            </w:tcBorders>
            <w:shd w:val="clear" w:color="auto" w:fill="FFFFFF"/>
            <w:vAlign w:val="center"/>
          </w:tcPr>
          <w:p w14:paraId="0EDC4F83"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34E32058"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085C9BF3" w14:textId="77777777" w:rsidR="006A5447" w:rsidRPr="00A161AC" w:rsidRDefault="006A5447" w:rsidP="006A5447">
            <w:pPr>
              <w:spacing w:after="0" w:line="0" w:lineRule="atLeast"/>
              <w:jc w:val="center"/>
              <w:textboxTightWrap w:val="none"/>
              <w:rPr>
                <w:rFonts w:cs="Arial"/>
                <w:color w:val="auto"/>
                <w:sz w:val="22"/>
                <w:szCs w:val="22"/>
                <w:lang w:bidi="en-US"/>
              </w:rPr>
            </w:pPr>
          </w:p>
        </w:tc>
      </w:tr>
      <w:tr w:rsidR="006A5447" w:rsidRPr="00A161AC" w14:paraId="1FCABE9E" w14:textId="77777777" w:rsidTr="006A5447">
        <w:trPr>
          <w:trHeight w:val="147"/>
        </w:trPr>
        <w:tc>
          <w:tcPr>
            <w:tcW w:w="1554" w:type="dxa"/>
            <w:vMerge/>
            <w:tcBorders>
              <w:left w:val="single" w:sz="4" w:space="0" w:color="auto"/>
              <w:right w:val="single" w:sz="4" w:space="0" w:color="auto"/>
            </w:tcBorders>
            <w:shd w:val="clear" w:color="auto" w:fill="FFFFFF"/>
            <w:vAlign w:val="center"/>
          </w:tcPr>
          <w:p w14:paraId="5B822DA1" w14:textId="77777777" w:rsidR="006A5447" w:rsidRPr="00A161AC" w:rsidRDefault="006A5447" w:rsidP="006A5447">
            <w:pPr>
              <w:spacing w:after="0" w:line="0" w:lineRule="atLeast"/>
              <w:ind w:left="113"/>
              <w:textboxTightWrap w:val="none"/>
              <w:rPr>
                <w:color w:val="auto"/>
                <w:sz w:val="22"/>
                <w:szCs w:val="22"/>
                <w:lang w:bidi="en-US"/>
              </w:rPr>
            </w:pPr>
          </w:p>
        </w:tc>
        <w:tc>
          <w:tcPr>
            <w:tcW w:w="1464" w:type="dxa"/>
            <w:vMerge/>
            <w:tcBorders>
              <w:left w:val="single" w:sz="4" w:space="0" w:color="auto"/>
              <w:right w:val="single" w:sz="4" w:space="0" w:color="auto"/>
            </w:tcBorders>
            <w:shd w:val="clear" w:color="auto" w:fill="FFFFFF"/>
            <w:vAlign w:val="center"/>
          </w:tcPr>
          <w:p w14:paraId="2C1D4F22" w14:textId="77777777" w:rsidR="006A5447" w:rsidRPr="00A161AC" w:rsidRDefault="006A5447" w:rsidP="006A5447">
            <w:pPr>
              <w:spacing w:after="0" w:line="0" w:lineRule="atLeast"/>
              <w:jc w:val="center"/>
              <w:textboxTightWrap w:val="none"/>
              <w:rPr>
                <w:color w:val="auto"/>
                <w:sz w:val="22"/>
                <w:szCs w:val="22"/>
                <w:lang w:bidi="en-US"/>
              </w:rPr>
            </w:pPr>
          </w:p>
        </w:tc>
        <w:tc>
          <w:tcPr>
            <w:tcW w:w="2551" w:type="dxa"/>
            <w:vMerge/>
            <w:tcBorders>
              <w:left w:val="single" w:sz="4" w:space="0" w:color="auto"/>
              <w:right w:val="single" w:sz="4" w:space="0" w:color="auto"/>
            </w:tcBorders>
            <w:shd w:val="clear" w:color="auto" w:fill="FFFFFF"/>
            <w:vAlign w:val="center"/>
          </w:tcPr>
          <w:p w14:paraId="7B71966D" w14:textId="77777777" w:rsidR="006A5447" w:rsidRPr="00A161AC" w:rsidRDefault="006A5447" w:rsidP="006A5447">
            <w:pPr>
              <w:spacing w:after="0" w:line="0" w:lineRule="atLeast"/>
              <w:jc w:val="center"/>
              <w:textboxTightWrap w:val="none"/>
              <w:rPr>
                <w:color w:val="auto"/>
                <w:sz w:val="22"/>
                <w:szCs w:val="22"/>
                <w:lang w:bidi="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FA4D3F3"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 xml:space="preserve">65 week waits as a % of total </w:t>
            </w:r>
            <w:r w:rsidRPr="00A161AC">
              <w:rPr>
                <w:color w:val="auto"/>
                <w:sz w:val="22"/>
                <w:szCs w:val="22"/>
                <w:lang w:bidi="en-US"/>
              </w:rPr>
              <w:t>patient</w:t>
            </w:r>
            <w:r w:rsidRPr="00A161AC">
              <w:rPr>
                <w:rFonts w:cs="Arial"/>
                <w:color w:val="auto"/>
                <w:sz w:val="22"/>
                <w:szCs w:val="22"/>
                <w:lang w:bidi="en-US"/>
              </w:rPr>
              <w:t xml:space="preserve"> tracking list (PTL) (size adjusted)</w:t>
            </w:r>
          </w:p>
        </w:tc>
        <w:tc>
          <w:tcPr>
            <w:tcW w:w="2552" w:type="dxa"/>
            <w:vMerge/>
            <w:tcBorders>
              <w:left w:val="single" w:sz="4" w:space="0" w:color="auto"/>
              <w:right w:val="single" w:sz="4" w:space="0" w:color="auto"/>
            </w:tcBorders>
            <w:shd w:val="clear" w:color="auto" w:fill="FFFFFF"/>
            <w:vAlign w:val="center"/>
          </w:tcPr>
          <w:p w14:paraId="0163F0F7"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721FE57B"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4CB390E7" w14:textId="77777777" w:rsidR="006A5447" w:rsidRPr="00A161AC" w:rsidRDefault="006A5447" w:rsidP="006A5447">
            <w:pPr>
              <w:spacing w:after="0" w:line="0" w:lineRule="atLeast"/>
              <w:jc w:val="center"/>
              <w:textboxTightWrap w:val="none"/>
              <w:rPr>
                <w:rFonts w:cs="Arial"/>
                <w:color w:val="auto"/>
                <w:sz w:val="22"/>
                <w:szCs w:val="22"/>
                <w:lang w:bidi="en-US"/>
              </w:rPr>
            </w:pPr>
          </w:p>
        </w:tc>
      </w:tr>
      <w:tr w:rsidR="006A5447" w:rsidRPr="00A161AC" w14:paraId="594A9219" w14:textId="77777777" w:rsidTr="006A5447">
        <w:trPr>
          <w:trHeight w:val="147"/>
        </w:trPr>
        <w:tc>
          <w:tcPr>
            <w:tcW w:w="1554" w:type="dxa"/>
            <w:vMerge/>
            <w:tcBorders>
              <w:left w:val="single" w:sz="4" w:space="0" w:color="auto"/>
              <w:right w:val="single" w:sz="4" w:space="0" w:color="auto"/>
            </w:tcBorders>
            <w:shd w:val="clear" w:color="auto" w:fill="FFFFFF"/>
            <w:vAlign w:val="center"/>
          </w:tcPr>
          <w:p w14:paraId="3FFF7EED" w14:textId="77777777" w:rsidR="006A5447" w:rsidRPr="00A161AC" w:rsidRDefault="006A5447" w:rsidP="006A5447">
            <w:pPr>
              <w:spacing w:after="0" w:line="0" w:lineRule="atLeast"/>
              <w:ind w:left="113"/>
              <w:textboxTightWrap w:val="none"/>
              <w:rPr>
                <w:color w:val="auto"/>
                <w:sz w:val="22"/>
                <w:szCs w:val="22"/>
                <w:lang w:bidi="en-US"/>
              </w:rPr>
            </w:pPr>
          </w:p>
        </w:tc>
        <w:tc>
          <w:tcPr>
            <w:tcW w:w="1464" w:type="dxa"/>
            <w:vMerge/>
            <w:tcBorders>
              <w:left w:val="single" w:sz="4" w:space="0" w:color="auto"/>
              <w:right w:val="single" w:sz="4" w:space="0" w:color="auto"/>
            </w:tcBorders>
            <w:shd w:val="clear" w:color="auto" w:fill="FFFFFF"/>
            <w:vAlign w:val="center"/>
          </w:tcPr>
          <w:p w14:paraId="47B52788" w14:textId="77777777" w:rsidR="006A5447" w:rsidRPr="00A161AC" w:rsidRDefault="006A5447" w:rsidP="006A5447">
            <w:pPr>
              <w:spacing w:after="0" w:line="0" w:lineRule="atLeast"/>
              <w:jc w:val="center"/>
              <w:textboxTightWrap w:val="none"/>
              <w:rPr>
                <w:color w:val="auto"/>
                <w:sz w:val="22"/>
                <w:szCs w:val="22"/>
                <w:lang w:bidi="en-US"/>
              </w:rPr>
            </w:pPr>
          </w:p>
        </w:tc>
        <w:tc>
          <w:tcPr>
            <w:tcW w:w="2551" w:type="dxa"/>
            <w:vMerge/>
            <w:tcBorders>
              <w:left w:val="single" w:sz="4" w:space="0" w:color="auto"/>
              <w:right w:val="single" w:sz="4" w:space="0" w:color="auto"/>
            </w:tcBorders>
            <w:shd w:val="clear" w:color="auto" w:fill="FFFFFF"/>
            <w:vAlign w:val="center"/>
          </w:tcPr>
          <w:p w14:paraId="0BBA79A8" w14:textId="77777777" w:rsidR="006A5447" w:rsidRPr="00A161AC" w:rsidRDefault="006A5447" w:rsidP="006A5447">
            <w:pPr>
              <w:spacing w:after="0" w:line="0" w:lineRule="atLeast"/>
              <w:jc w:val="center"/>
              <w:textboxTightWrap w:val="none"/>
              <w:rPr>
                <w:color w:val="auto"/>
                <w:sz w:val="22"/>
                <w:szCs w:val="22"/>
                <w:lang w:bidi="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BD9CF11"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65 weeks wait performance vs plan (size adjusted)</w:t>
            </w:r>
          </w:p>
        </w:tc>
        <w:tc>
          <w:tcPr>
            <w:tcW w:w="2552" w:type="dxa"/>
            <w:vMerge/>
            <w:tcBorders>
              <w:left w:val="single" w:sz="4" w:space="0" w:color="auto"/>
              <w:right w:val="single" w:sz="4" w:space="0" w:color="auto"/>
            </w:tcBorders>
            <w:shd w:val="clear" w:color="auto" w:fill="FFFFFF"/>
            <w:vAlign w:val="center"/>
          </w:tcPr>
          <w:p w14:paraId="3DE97905"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40D49759"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36BF05B4" w14:textId="77777777" w:rsidR="006A5447" w:rsidRPr="00A161AC" w:rsidRDefault="006A5447" w:rsidP="006A5447">
            <w:pPr>
              <w:spacing w:after="0" w:line="0" w:lineRule="atLeast"/>
              <w:jc w:val="center"/>
              <w:textboxTightWrap w:val="none"/>
              <w:rPr>
                <w:rFonts w:cs="Arial"/>
                <w:color w:val="auto"/>
                <w:sz w:val="22"/>
                <w:szCs w:val="22"/>
                <w:lang w:bidi="en-US"/>
              </w:rPr>
            </w:pPr>
          </w:p>
        </w:tc>
      </w:tr>
      <w:tr w:rsidR="006A5447" w:rsidRPr="00A161AC" w14:paraId="300E33FB" w14:textId="77777777" w:rsidTr="006A5447">
        <w:trPr>
          <w:trHeight w:val="147"/>
        </w:trPr>
        <w:tc>
          <w:tcPr>
            <w:tcW w:w="1554" w:type="dxa"/>
            <w:vMerge/>
            <w:tcBorders>
              <w:left w:val="single" w:sz="4" w:space="0" w:color="auto"/>
              <w:right w:val="single" w:sz="4" w:space="0" w:color="auto"/>
            </w:tcBorders>
            <w:shd w:val="clear" w:color="auto" w:fill="FFFFFF"/>
            <w:vAlign w:val="center"/>
          </w:tcPr>
          <w:p w14:paraId="1CD39C68" w14:textId="77777777" w:rsidR="006A5447" w:rsidRPr="00A161AC" w:rsidRDefault="006A5447" w:rsidP="006A5447">
            <w:pPr>
              <w:spacing w:after="0" w:line="0" w:lineRule="atLeast"/>
              <w:ind w:left="113"/>
              <w:textboxTightWrap w:val="none"/>
              <w:rPr>
                <w:color w:val="auto"/>
                <w:sz w:val="22"/>
                <w:szCs w:val="22"/>
                <w:lang w:bidi="en-US"/>
              </w:rPr>
            </w:pPr>
          </w:p>
        </w:tc>
        <w:tc>
          <w:tcPr>
            <w:tcW w:w="1464" w:type="dxa"/>
            <w:vMerge/>
            <w:tcBorders>
              <w:left w:val="single" w:sz="4" w:space="0" w:color="auto"/>
              <w:right w:val="single" w:sz="4" w:space="0" w:color="auto"/>
            </w:tcBorders>
            <w:shd w:val="clear" w:color="auto" w:fill="FFFFFF"/>
            <w:vAlign w:val="center"/>
          </w:tcPr>
          <w:p w14:paraId="7D23F4A7" w14:textId="77777777" w:rsidR="006A5447" w:rsidRPr="00A161AC" w:rsidRDefault="006A5447" w:rsidP="006A5447">
            <w:pPr>
              <w:spacing w:after="0" w:line="0" w:lineRule="atLeast"/>
              <w:jc w:val="center"/>
              <w:textboxTightWrap w:val="none"/>
              <w:rPr>
                <w:color w:val="auto"/>
                <w:sz w:val="22"/>
                <w:szCs w:val="22"/>
                <w:lang w:bidi="en-US"/>
              </w:rPr>
            </w:pPr>
          </w:p>
        </w:tc>
        <w:tc>
          <w:tcPr>
            <w:tcW w:w="2551" w:type="dxa"/>
            <w:vMerge/>
            <w:tcBorders>
              <w:left w:val="single" w:sz="4" w:space="0" w:color="auto"/>
              <w:right w:val="single" w:sz="4" w:space="0" w:color="auto"/>
            </w:tcBorders>
            <w:shd w:val="clear" w:color="auto" w:fill="FFFFFF"/>
            <w:vAlign w:val="center"/>
          </w:tcPr>
          <w:p w14:paraId="676DB7AE" w14:textId="77777777" w:rsidR="006A5447" w:rsidRPr="00A161AC" w:rsidRDefault="006A5447" w:rsidP="006A5447">
            <w:pPr>
              <w:spacing w:after="0" w:line="0" w:lineRule="atLeast"/>
              <w:jc w:val="center"/>
              <w:textboxTightWrap w:val="none"/>
              <w:rPr>
                <w:color w:val="auto"/>
                <w:sz w:val="22"/>
                <w:szCs w:val="22"/>
                <w:lang w:bidi="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72C88B7"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 xml:space="preserve">Proportion of PTL over 65 week waits (size adjusted) </w:t>
            </w:r>
          </w:p>
        </w:tc>
        <w:tc>
          <w:tcPr>
            <w:tcW w:w="2552" w:type="dxa"/>
            <w:vMerge/>
            <w:tcBorders>
              <w:left w:val="single" w:sz="4" w:space="0" w:color="auto"/>
              <w:right w:val="single" w:sz="4" w:space="0" w:color="auto"/>
            </w:tcBorders>
            <w:shd w:val="clear" w:color="auto" w:fill="FFFFFF"/>
            <w:vAlign w:val="center"/>
          </w:tcPr>
          <w:p w14:paraId="0285D403"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6323308F"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580AC401" w14:textId="77777777" w:rsidR="006A5447" w:rsidRPr="00A161AC" w:rsidRDefault="006A5447" w:rsidP="006A5447">
            <w:pPr>
              <w:spacing w:after="0" w:line="0" w:lineRule="atLeast"/>
              <w:jc w:val="center"/>
              <w:textboxTightWrap w:val="none"/>
              <w:rPr>
                <w:rFonts w:cs="Arial"/>
                <w:color w:val="auto"/>
                <w:sz w:val="22"/>
                <w:szCs w:val="22"/>
                <w:lang w:bidi="en-US"/>
              </w:rPr>
            </w:pPr>
          </w:p>
        </w:tc>
      </w:tr>
      <w:tr w:rsidR="006A5447" w:rsidRPr="00A161AC" w14:paraId="3A4931A0" w14:textId="77777777" w:rsidTr="006A5447">
        <w:trPr>
          <w:trHeight w:val="147"/>
        </w:trPr>
        <w:tc>
          <w:tcPr>
            <w:tcW w:w="1554" w:type="dxa"/>
            <w:vMerge/>
            <w:tcBorders>
              <w:left w:val="single" w:sz="4" w:space="0" w:color="auto"/>
              <w:right w:val="single" w:sz="4" w:space="0" w:color="auto"/>
            </w:tcBorders>
            <w:shd w:val="clear" w:color="auto" w:fill="FFFFFF"/>
            <w:vAlign w:val="center"/>
          </w:tcPr>
          <w:p w14:paraId="2BECE0F4" w14:textId="77777777" w:rsidR="006A5447" w:rsidRPr="00A161AC" w:rsidRDefault="006A5447" w:rsidP="006A5447">
            <w:pPr>
              <w:spacing w:after="0" w:line="0" w:lineRule="atLeast"/>
              <w:ind w:left="113"/>
              <w:textboxTightWrap w:val="none"/>
              <w:rPr>
                <w:color w:val="auto"/>
                <w:sz w:val="22"/>
                <w:szCs w:val="22"/>
                <w:lang w:bidi="en-US"/>
              </w:rPr>
            </w:pPr>
          </w:p>
        </w:tc>
        <w:tc>
          <w:tcPr>
            <w:tcW w:w="1464" w:type="dxa"/>
            <w:vMerge/>
            <w:tcBorders>
              <w:left w:val="single" w:sz="4" w:space="0" w:color="auto"/>
              <w:bottom w:val="single" w:sz="4" w:space="0" w:color="auto"/>
              <w:right w:val="single" w:sz="4" w:space="0" w:color="auto"/>
            </w:tcBorders>
            <w:shd w:val="clear" w:color="auto" w:fill="FFFFFF"/>
            <w:vAlign w:val="center"/>
          </w:tcPr>
          <w:p w14:paraId="397EB008" w14:textId="77777777" w:rsidR="006A5447" w:rsidRPr="00A161AC" w:rsidRDefault="006A5447" w:rsidP="006A5447">
            <w:pPr>
              <w:spacing w:after="0" w:line="0" w:lineRule="atLeast"/>
              <w:jc w:val="center"/>
              <w:textboxTightWrap w:val="none"/>
              <w:rPr>
                <w:color w:val="auto"/>
                <w:sz w:val="22"/>
                <w:szCs w:val="22"/>
                <w:lang w:bidi="en-US"/>
              </w:rPr>
            </w:pPr>
          </w:p>
        </w:tc>
        <w:tc>
          <w:tcPr>
            <w:tcW w:w="2551" w:type="dxa"/>
            <w:vMerge/>
            <w:tcBorders>
              <w:left w:val="single" w:sz="4" w:space="0" w:color="auto"/>
              <w:bottom w:val="single" w:sz="4" w:space="0" w:color="auto"/>
              <w:right w:val="single" w:sz="4" w:space="0" w:color="auto"/>
            </w:tcBorders>
            <w:shd w:val="clear" w:color="auto" w:fill="FFFFFF"/>
            <w:vAlign w:val="center"/>
          </w:tcPr>
          <w:p w14:paraId="4C33F002" w14:textId="77777777" w:rsidR="006A5447" w:rsidRPr="00A161AC" w:rsidRDefault="006A5447" w:rsidP="006A5447">
            <w:pPr>
              <w:spacing w:after="0" w:line="0" w:lineRule="atLeast"/>
              <w:jc w:val="center"/>
              <w:textboxTightWrap w:val="none"/>
              <w:rPr>
                <w:color w:val="auto"/>
                <w:sz w:val="22"/>
                <w:szCs w:val="22"/>
                <w:lang w:bidi="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F8B530A"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65 weeks wait reduction against trajectory</w:t>
            </w:r>
          </w:p>
        </w:tc>
        <w:tc>
          <w:tcPr>
            <w:tcW w:w="2552" w:type="dxa"/>
            <w:vMerge/>
            <w:tcBorders>
              <w:left w:val="single" w:sz="4" w:space="0" w:color="auto"/>
              <w:bottom w:val="single" w:sz="4" w:space="0" w:color="auto"/>
              <w:right w:val="single" w:sz="4" w:space="0" w:color="auto"/>
            </w:tcBorders>
            <w:shd w:val="clear" w:color="auto" w:fill="FFFFFF"/>
            <w:vAlign w:val="center"/>
          </w:tcPr>
          <w:p w14:paraId="1EFDB06E"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bottom w:val="single" w:sz="4" w:space="0" w:color="auto"/>
              <w:right w:val="single" w:sz="4" w:space="0" w:color="auto"/>
            </w:tcBorders>
            <w:shd w:val="clear" w:color="auto" w:fill="FFFFFF"/>
            <w:vAlign w:val="center"/>
          </w:tcPr>
          <w:p w14:paraId="056620F0"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bottom w:val="single" w:sz="4" w:space="0" w:color="auto"/>
              <w:right w:val="single" w:sz="4" w:space="0" w:color="auto"/>
            </w:tcBorders>
            <w:shd w:val="clear" w:color="auto" w:fill="FFFFFF"/>
            <w:vAlign w:val="center"/>
          </w:tcPr>
          <w:p w14:paraId="3A0A5AC6" w14:textId="77777777" w:rsidR="006A5447" w:rsidRPr="00A161AC" w:rsidRDefault="006A5447" w:rsidP="006A5447">
            <w:pPr>
              <w:spacing w:after="0" w:line="0" w:lineRule="atLeast"/>
              <w:jc w:val="center"/>
              <w:textboxTightWrap w:val="none"/>
              <w:rPr>
                <w:rFonts w:cs="Arial"/>
                <w:color w:val="auto"/>
                <w:sz w:val="22"/>
                <w:szCs w:val="22"/>
                <w:lang w:bidi="en-US"/>
              </w:rPr>
            </w:pPr>
          </w:p>
        </w:tc>
      </w:tr>
      <w:tr w:rsidR="006A5447" w:rsidRPr="00A161AC" w14:paraId="4DE073E5" w14:textId="77777777" w:rsidTr="006A5447">
        <w:tc>
          <w:tcPr>
            <w:tcW w:w="1554" w:type="dxa"/>
            <w:vMerge/>
            <w:tcBorders>
              <w:left w:val="single" w:sz="4" w:space="0" w:color="auto"/>
              <w:right w:val="single" w:sz="4" w:space="0" w:color="auto"/>
            </w:tcBorders>
            <w:vAlign w:val="center"/>
            <w:hideMark/>
          </w:tcPr>
          <w:p w14:paraId="25019CD8" w14:textId="77777777" w:rsidR="006A5447" w:rsidRPr="00A161AC" w:rsidRDefault="006A5447" w:rsidP="006A5447">
            <w:pPr>
              <w:spacing w:after="200" w:line="276" w:lineRule="auto"/>
              <w:textboxTightWrap w:val="none"/>
              <w:rPr>
                <w:color w:val="auto"/>
                <w:sz w:val="22"/>
                <w:szCs w:val="22"/>
                <w:lang w:bidi="en-US"/>
              </w:rPr>
            </w:pP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EADC84"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(2) Diagnostics</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A89D2"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GP direct access activity vs 2023/24 baseline</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61D45"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r w:rsidRPr="00A161AC">
              <w:rPr>
                <w:color w:val="auto"/>
                <w:sz w:val="22"/>
                <w:szCs w:val="22"/>
                <w:lang w:bidi="en-US"/>
              </w:rPr>
              <w:t>Proportion of appropriate activity completed within 6 weeks of referral</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543DD40E"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r w:rsidRPr="00A161AC">
              <w:rPr>
                <w:color w:val="auto"/>
                <w:sz w:val="22"/>
                <w:szCs w:val="22"/>
                <w:lang w:bidi="en-US"/>
              </w:rPr>
              <w:t>To be developed in year 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2FCFDD1"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r w:rsidRPr="00A161AC">
              <w:rPr>
                <w:color w:val="auto"/>
                <w:sz w:val="22"/>
                <w:szCs w:val="22"/>
                <w:lang w:bidi="en-US"/>
              </w:rPr>
              <w:t>To be developed in year 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EA227E0"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r w:rsidRPr="00A161AC">
              <w:rPr>
                <w:color w:val="auto"/>
                <w:sz w:val="22"/>
                <w:szCs w:val="22"/>
                <w:lang w:bidi="en-US"/>
              </w:rPr>
              <w:t>To be developed in year 1</w:t>
            </w:r>
          </w:p>
        </w:tc>
      </w:tr>
      <w:tr w:rsidR="006A5447" w:rsidRPr="00A161AC" w14:paraId="31A2CD8E" w14:textId="77777777" w:rsidTr="006A5447">
        <w:trPr>
          <w:trHeight w:val="467"/>
        </w:trPr>
        <w:tc>
          <w:tcPr>
            <w:tcW w:w="1554" w:type="dxa"/>
            <w:vMerge/>
            <w:tcBorders>
              <w:left w:val="single" w:sz="4" w:space="0" w:color="auto"/>
              <w:right w:val="single" w:sz="4" w:space="0" w:color="auto"/>
            </w:tcBorders>
            <w:vAlign w:val="center"/>
            <w:hideMark/>
          </w:tcPr>
          <w:p w14:paraId="36CB08E2"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val="restart"/>
            <w:tcBorders>
              <w:top w:val="single" w:sz="4" w:space="0" w:color="auto"/>
              <w:left w:val="single" w:sz="4" w:space="0" w:color="auto"/>
              <w:right w:val="single" w:sz="4" w:space="0" w:color="auto"/>
            </w:tcBorders>
            <w:shd w:val="clear" w:color="auto" w:fill="FFFFFF"/>
            <w:vAlign w:val="center"/>
            <w:hideMark/>
          </w:tcPr>
          <w:p w14:paraId="2620A723"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(3) Cancer</w:t>
            </w:r>
          </w:p>
        </w:tc>
        <w:tc>
          <w:tcPr>
            <w:tcW w:w="2551" w:type="dxa"/>
            <w:vMerge w:val="restart"/>
            <w:tcBorders>
              <w:top w:val="single" w:sz="4" w:space="0" w:color="auto"/>
              <w:left w:val="single" w:sz="4" w:space="0" w:color="auto"/>
              <w:right w:val="single" w:sz="4" w:space="0" w:color="auto"/>
            </w:tcBorders>
            <w:shd w:val="clear" w:color="auto" w:fill="FFFFFF"/>
            <w:vAlign w:val="center"/>
            <w:hideMark/>
          </w:tcPr>
          <w:p w14:paraId="4DB8A5CF"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Proportion of cancers diagnosed at stage 1 or 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BDC39A"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62-day backlog vs fair shares</w:t>
            </w:r>
          </w:p>
          <w:p w14:paraId="6E05B6C5"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val="restart"/>
            <w:tcBorders>
              <w:top w:val="single" w:sz="4" w:space="0" w:color="auto"/>
              <w:left w:val="single" w:sz="4" w:space="0" w:color="auto"/>
              <w:right w:val="single" w:sz="4" w:space="0" w:color="auto"/>
            </w:tcBorders>
            <w:shd w:val="clear" w:color="auto" w:fill="FFFFFF"/>
            <w:hideMark/>
          </w:tcPr>
          <w:p w14:paraId="6C419CDF"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color w:val="auto"/>
                <w:sz w:val="22"/>
                <w:szCs w:val="22"/>
                <w:lang w:bidi="en-US"/>
              </w:rPr>
              <w:t>To be developed in year 1</w:t>
            </w:r>
          </w:p>
        </w:tc>
        <w:tc>
          <w:tcPr>
            <w:tcW w:w="2552" w:type="dxa"/>
            <w:vMerge w:val="restart"/>
            <w:tcBorders>
              <w:top w:val="single" w:sz="4" w:space="0" w:color="auto"/>
              <w:left w:val="single" w:sz="4" w:space="0" w:color="auto"/>
              <w:right w:val="single" w:sz="4" w:space="0" w:color="auto"/>
            </w:tcBorders>
            <w:shd w:val="clear" w:color="auto" w:fill="FFFFFF"/>
          </w:tcPr>
          <w:p w14:paraId="2C2C1A36"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color w:val="auto"/>
                <w:sz w:val="22"/>
                <w:szCs w:val="22"/>
                <w:lang w:bidi="en-US"/>
              </w:rPr>
              <w:t>To be developed in year 1</w:t>
            </w:r>
          </w:p>
        </w:tc>
        <w:tc>
          <w:tcPr>
            <w:tcW w:w="2552" w:type="dxa"/>
            <w:vMerge w:val="restart"/>
            <w:tcBorders>
              <w:top w:val="single" w:sz="4" w:space="0" w:color="auto"/>
              <w:left w:val="single" w:sz="4" w:space="0" w:color="auto"/>
              <w:right w:val="single" w:sz="4" w:space="0" w:color="auto"/>
            </w:tcBorders>
            <w:shd w:val="clear" w:color="auto" w:fill="FFFFFF"/>
          </w:tcPr>
          <w:p w14:paraId="32F6658E"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color w:val="auto"/>
                <w:sz w:val="22"/>
                <w:szCs w:val="22"/>
                <w:lang w:bidi="en-US"/>
              </w:rPr>
              <w:t>To be developed in year 1</w:t>
            </w:r>
          </w:p>
        </w:tc>
      </w:tr>
      <w:tr w:rsidR="006A5447" w:rsidRPr="00A161AC" w14:paraId="324BBA1E" w14:textId="77777777" w:rsidTr="006A5447">
        <w:trPr>
          <w:trHeight w:val="210"/>
        </w:trPr>
        <w:tc>
          <w:tcPr>
            <w:tcW w:w="1554" w:type="dxa"/>
            <w:vMerge/>
            <w:tcBorders>
              <w:left w:val="single" w:sz="4" w:space="0" w:color="auto"/>
              <w:right w:val="single" w:sz="4" w:space="0" w:color="auto"/>
            </w:tcBorders>
            <w:vAlign w:val="center"/>
          </w:tcPr>
          <w:p w14:paraId="4DB499AD"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tcBorders>
              <w:left w:val="single" w:sz="4" w:space="0" w:color="auto"/>
              <w:right w:val="single" w:sz="4" w:space="0" w:color="auto"/>
            </w:tcBorders>
            <w:shd w:val="clear" w:color="auto" w:fill="FFFFFF"/>
            <w:vAlign w:val="center"/>
          </w:tcPr>
          <w:p w14:paraId="24785A91" w14:textId="77777777" w:rsidR="006A5447" w:rsidRPr="00A161AC" w:rsidRDefault="006A5447" w:rsidP="006A5447">
            <w:pPr>
              <w:spacing w:after="0" w:line="0" w:lineRule="atLeast"/>
              <w:jc w:val="center"/>
              <w:textboxTightWrap w:val="none"/>
              <w:rPr>
                <w:color w:val="auto"/>
                <w:sz w:val="22"/>
                <w:szCs w:val="22"/>
                <w:lang w:bidi="en-US"/>
              </w:rPr>
            </w:pPr>
          </w:p>
        </w:tc>
        <w:tc>
          <w:tcPr>
            <w:tcW w:w="2551" w:type="dxa"/>
            <w:vMerge/>
            <w:tcBorders>
              <w:left w:val="single" w:sz="4" w:space="0" w:color="auto"/>
              <w:right w:val="single" w:sz="4" w:space="0" w:color="auto"/>
            </w:tcBorders>
            <w:shd w:val="clear" w:color="auto" w:fill="FFFFFF"/>
            <w:vAlign w:val="center"/>
          </w:tcPr>
          <w:p w14:paraId="3837228D" w14:textId="77777777" w:rsidR="006A5447" w:rsidRPr="00A161AC" w:rsidRDefault="006A5447" w:rsidP="006A5447">
            <w:pPr>
              <w:spacing w:after="0" w:line="0" w:lineRule="atLeast"/>
              <w:jc w:val="center"/>
              <w:textboxTightWrap w:val="none"/>
              <w:rPr>
                <w:color w:val="auto"/>
                <w:sz w:val="22"/>
                <w:szCs w:val="22"/>
                <w:lang w:bidi="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63545B4"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Faster diagnosis rate</w:t>
            </w:r>
          </w:p>
        </w:tc>
        <w:tc>
          <w:tcPr>
            <w:tcW w:w="2552" w:type="dxa"/>
            <w:vMerge/>
            <w:tcBorders>
              <w:left w:val="single" w:sz="4" w:space="0" w:color="auto"/>
              <w:right w:val="single" w:sz="4" w:space="0" w:color="auto"/>
            </w:tcBorders>
            <w:shd w:val="clear" w:color="auto" w:fill="FFFFFF"/>
            <w:vAlign w:val="center"/>
          </w:tcPr>
          <w:p w14:paraId="34BFD2FF"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3E0E5ADA"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47C02B58" w14:textId="77777777" w:rsidR="006A5447" w:rsidRPr="00A161AC" w:rsidRDefault="006A5447" w:rsidP="006A5447">
            <w:pPr>
              <w:spacing w:after="0" w:line="0" w:lineRule="atLeast"/>
              <w:jc w:val="center"/>
              <w:textboxTightWrap w:val="none"/>
              <w:rPr>
                <w:rFonts w:cs="Arial"/>
                <w:color w:val="auto"/>
                <w:sz w:val="22"/>
                <w:szCs w:val="22"/>
                <w:lang w:bidi="en-US"/>
              </w:rPr>
            </w:pPr>
          </w:p>
        </w:tc>
      </w:tr>
      <w:tr w:rsidR="006A5447" w:rsidRPr="00A161AC" w14:paraId="22D8F1E9" w14:textId="77777777" w:rsidTr="006A5447">
        <w:trPr>
          <w:trHeight w:val="210"/>
        </w:trPr>
        <w:tc>
          <w:tcPr>
            <w:tcW w:w="1554" w:type="dxa"/>
            <w:vMerge/>
            <w:tcBorders>
              <w:left w:val="single" w:sz="4" w:space="0" w:color="auto"/>
              <w:right w:val="single" w:sz="4" w:space="0" w:color="auto"/>
            </w:tcBorders>
            <w:vAlign w:val="center"/>
          </w:tcPr>
          <w:p w14:paraId="1E2FE100"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tcBorders>
              <w:left w:val="single" w:sz="4" w:space="0" w:color="auto"/>
              <w:bottom w:val="single" w:sz="4" w:space="0" w:color="auto"/>
              <w:right w:val="single" w:sz="4" w:space="0" w:color="auto"/>
            </w:tcBorders>
            <w:shd w:val="clear" w:color="auto" w:fill="FFFFFF"/>
            <w:vAlign w:val="center"/>
          </w:tcPr>
          <w:p w14:paraId="2DD77725" w14:textId="77777777" w:rsidR="006A5447" w:rsidRPr="00A161AC" w:rsidRDefault="006A5447" w:rsidP="006A5447">
            <w:pPr>
              <w:spacing w:after="0" w:line="0" w:lineRule="atLeast"/>
              <w:jc w:val="center"/>
              <w:textboxTightWrap w:val="none"/>
              <w:rPr>
                <w:color w:val="auto"/>
                <w:sz w:val="22"/>
                <w:szCs w:val="22"/>
                <w:lang w:bidi="en-US"/>
              </w:rPr>
            </w:pPr>
          </w:p>
        </w:tc>
        <w:tc>
          <w:tcPr>
            <w:tcW w:w="2551" w:type="dxa"/>
            <w:vMerge/>
            <w:tcBorders>
              <w:left w:val="single" w:sz="4" w:space="0" w:color="auto"/>
              <w:bottom w:val="single" w:sz="4" w:space="0" w:color="auto"/>
              <w:right w:val="single" w:sz="4" w:space="0" w:color="auto"/>
            </w:tcBorders>
            <w:shd w:val="clear" w:color="auto" w:fill="FFFFFF"/>
            <w:vAlign w:val="center"/>
          </w:tcPr>
          <w:p w14:paraId="3E029E7C" w14:textId="77777777" w:rsidR="006A5447" w:rsidRPr="00A161AC" w:rsidRDefault="006A5447" w:rsidP="006A5447">
            <w:pPr>
              <w:spacing w:after="0" w:line="0" w:lineRule="atLeast"/>
              <w:jc w:val="center"/>
              <w:textboxTightWrap w:val="none"/>
              <w:rPr>
                <w:color w:val="auto"/>
                <w:sz w:val="22"/>
                <w:szCs w:val="22"/>
                <w:lang w:bidi="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586BEF0"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62-day performance</w:t>
            </w:r>
          </w:p>
        </w:tc>
        <w:tc>
          <w:tcPr>
            <w:tcW w:w="2552" w:type="dxa"/>
            <w:vMerge/>
            <w:tcBorders>
              <w:left w:val="single" w:sz="4" w:space="0" w:color="auto"/>
              <w:bottom w:val="single" w:sz="4" w:space="0" w:color="auto"/>
              <w:right w:val="single" w:sz="4" w:space="0" w:color="auto"/>
            </w:tcBorders>
            <w:shd w:val="clear" w:color="auto" w:fill="FFFFFF"/>
            <w:vAlign w:val="center"/>
          </w:tcPr>
          <w:p w14:paraId="1D57A008"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bottom w:val="single" w:sz="4" w:space="0" w:color="auto"/>
              <w:right w:val="single" w:sz="4" w:space="0" w:color="auto"/>
            </w:tcBorders>
            <w:shd w:val="clear" w:color="auto" w:fill="FFFFFF"/>
            <w:vAlign w:val="center"/>
          </w:tcPr>
          <w:p w14:paraId="45A31824"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bottom w:val="single" w:sz="4" w:space="0" w:color="auto"/>
              <w:right w:val="single" w:sz="4" w:space="0" w:color="auto"/>
            </w:tcBorders>
            <w:shd w:val="clear" w:color="auto" w:fill="FFFFFF"/>
            <w:vAlign w:val="center"/>
          </w:tcPr>
          <w:p w14:paraId="1CE1F0A0" w14:textId="77777777" w:rsidR="006A5447" w:rsidRPr="00A161AC" w:rsidRDefault="006A5447" w:rsidP="006A5447">
            <w:pPr>
              <w:spacing w:after="0" w:line="0" w:lineRule="atLeast"/>
              <w:jc w:val="center"/>
              <w:textboxTightWrap w:val="none"/>
              <w:rPr>
                <w:rFonts w:cs="Arial"/>
                <w:color w:val="auto"/>
                <w:sz w:val="22"/>
                <w:szCs w:val="22"/>
                <w:lang w:bidi="en-US"/>
              </w:rPr>
            </w:pPr>
          </w:p>
        </w:tc>
      </w:tr>
      <w:tr w:rsidR="006A5447" w:rsidRPr="00A161AC" w14:paraId="4E495590" w14:textId="77777777" w:rsidTr="006A5447">
        <w:tc>
          <w:tcPr>
            <w:tcW w:w="1554" w:type="dxa"/>
            <w:vMerge/>
            <w:tcBorders>
              <w:left w:val="single" w:sz="4" w:space="0" w:color="auto"/>
              <w:right w:val="single" w:sz="4" w:space="0" w:color="auto"/>
            </w:tcBorders>
            <w:vAlign w:val="center"/>
            <w:hideMark/>
          </w:tcPr>
          <w:p w14:paraId="77C52B91" w14:textId="77777777" w:rsidR="006A5447" w:rsidRPr="00A161AC" w:rsidRDefault="006A5447" w:rsidP="006A5447">
            <w:pPr>
              <w:spacing w:after="200" w:line="276" w:lineRule="auto"/>
              <w:textboxTightWrap w:val="none"/>
              <w:rPr>
                <w:color w:val="auto"/>
                <w:sz w:val="22"/>
                <w:szCs w:val="22"/>
                <w:lang w:bidi="en-US"/>
              </w:rPr>
            </w:pP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255528"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(4) Urgent and emergency care</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0C68F"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Standardised G&amp;A bed days per 100k head of population</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0E2C6C"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Proportion of patients seen within 4 hours</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B0839"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Proportion of acute admissions from community trusts</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B073624"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Urgent crisis response face-to-face contacts within 4 hours</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EB4EF34"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Category 2 mean response time</w:t>
            </w:r>
          </w:p>
        </w:tc>
      </w:tr>
      <w:tr w:rsidR="006A5447" w:rsidRPr="00A161AC" w14:paraId="4F34C820" w14:textId="77777777" w:rsidTr="006A5447">
        <w:trPr>
          <w:trHeight w:val="1380"/>
        </w:trPr>
        <w:tc>
          <w:tcPr>
            <w:tcW w:w="1554" w:type="dxa"/>
            <w:vMerge/>
            <w:tcBorders>
              <w:left w:val="single" w:sz="4" w:space="0" w:color="auto"/>
              <w:right w:val="single" w:sz="4" w:space="0" w:color="auto"/>
            </w:tcBorders>
            <w:vAlign w:val="center"/>
            <w:hideMark/>
          </w:tcPr>
          <w:p w14:paraId="6E644D93" w14:textId="77777777" w:rsidR="006A5447" w:rsidRPr="00A161AC" w:rsidRDefault="006A5447" w:rsidP="006A5447">
            <w:pPr>
              <w:spacing w:after="200" w:line="276" w:lineRule="auto"/>
              <w:textboxTightWrap w:val="none"/>
              <w:rPr>
                <w:color w:val="auto"/>
                <w:sz w:val="22"/>
                <w:szCs w:val="22"/>
                <w:lang w:bidi="en-US"/>
              </w:rPr>
            </w:pP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00FF8F"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(5) Maternity</w:t>
            </w:r>
          </w:p>
        </w:tc>
        <w:tc>
          <w:tcPr>
            <w:tcW w:w="2551" w:type="dxa"/>
            <w:tcBorders>
              <w:top w:val="single" w:sz="4" w:space="0" w:color="auto"/>
              <w:left w:val="single" w:sz="4" w:space="0" w:color="auto"/>
              <w:right w:val="single" w:sz="4" w:space="0" w:color="auto"/>
            </w:tcBorders>
            <w:shd w:val="clear" w:color="auto" w:fill="FFFFFF"/>
            <w:vAlign w:val="center"/>
            <w:hideMark/>
          </w:tcPr>
          <w:p w14:paraId="5658CDDD"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Maternal smoking cessation rate</w:t>
            </w:r>
          </w:p>
        </w:tc>
        <w:tc>
          <w:tcPr>
            <w:tcW w:w="2552" w:type="dxa"/>
            <w:tcBorders>
              <w:top w:val="single" w:sz="4" w:space="0" w:color="auto"/>
              <w:left w:val="single" w:sz="4" w:space="0" w:color="auto"/>
              <w:right w:val="single" w:sz="4" w:space="0" w:color="auto"/>
            </w:tcBorders>
            <w:shd w:val="clear" w:color="auto" w:fill="FFFFFF"/>
            <w:vAlign w:val="center"/>
            <w:hideMark/>
          </w:tcPr>
          <w:p w14:paraId="27DE8AFA"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Midwifery fill rate in line with Birthrate Plus</w:t>
            </w:r>
          </w:p>
        </w:tc>
        <w:tc>
          <w:tcPr>
            <w:tcW w:w="2552" w:type="dxa"/>
            <w:tcBorders>
              <w:top w:val="single" w:sz="4" w:space="0" w:color="auto"/>
              <w:left w:val="single" w:sz="4" w:space="0" w:color="auto"/>
              <w:right w:val="single" w:sz="4" w:space="0" w:color="auto"/>
            </w:tcBorders>
            <w:shd w:val="clear" w:color="auto" w:fill="FFFFFF"/>
            <w:vAlign w:val="center"/>
          </w:tcPr>
          <w:p w14:paraId="1F865DAF"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To be developed in year 1</w:t>
            </w:r>
          </w:p>
        </w:tc>
        <w:tc>
          <w:tcPr>
            <w:tcW w:w="2552" w:type="dxa"/>
            <w:tcBorders>
              <w:top w:val="single" w:sz="4" w:space="0" w:color="auto"/>
              <w:left w:val="single" w:sz="4" w:space="0" w:color="auto"/>
              <w:right w:val="single" w:sz="4" w:space="0" w:color="auto"/>
            </w:tcBorders>
            <w:shd w:val="clear" w:color="auto" w:fill="FFFFFF"/>
            <w:vAlign w:val="center"/>
          </w:tcPr>
          <w:p w14:paraId="00C4B348"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Perinatal mental health access rate</w:t>
            </w:r>
          </w:p>
        </w:tc>
        <w:tc>
          <w:tcPr>
            <w:tcW w:w="2552" w:type="dxa"/>
            <w:tcBorders>
              <w:top w:val="single" w:sz="4" w:space="0" w:color="auto"/>
              <w:left w:val="single" w:sz="4" w:space="0" w:color="auto"/>
              <w:right w:val="single" w:sz="4" w:space="0" w:color="auto"/>
            </w:tcBorders>
            <w:shd w:val="clear" w:color="auto" w:fill="FFFFFF"/>
            <w:vAlign w:val="center"/>
          </w:tcPr>
          <w:p w14:paraId="151E872F"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To be developed in year 1</w:t>
            </w:r>
          </w:p>
        </w:tc>
      </w:tr>
      <w:tr w:rsidR="006A5447" w:rsidRPr="00A161AC" w14:paraId="122F9E2E" w14:textId="77777777" w:rsidTr="006A5447">
        <w:tc>
          <w:tcPr>
            <w:tcW w:w="1554" w:type="dxa"/>
            <w:vMerge/>
            <w:tcBorders>
              <w:left w:val="single" w:sz="4" w:space="0" w:color="auto"/>
              <w:right w:val="single" w:sz="4" w:space="0" w:color="auto"/>
            </w:tcBorders>
            <w:vAlign w:val="center"/>
            <w:hideMark/>
          </w:tcPr>
          <w:p w14:paraId="36EE65DB"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C645D7" w14:textId="77777777" w:rsidR="006A5447" w:rsidRPr="00A161AC" w:rsidRDefault="006A5447" w:rsidP="006A5447">
            <w:pPr>
              <w:spacing w:after="0" w:line="0" w:lineRule="atLeast"/>
              <w:ind w:left="113"/>
              <w:jc w:val="center"/>
              <w:textboxTightWrap w:val="none"/>
              <w:rPr>
                <w:color w:val="auto"/>
                <w:sz w:val="22"/>
                <w:szCs w:val="22"/>
                <w:lang w:bidi="en-US"/>
              </w:rPr>
            </w:pPr>
            <w:r w:rsidRPr="00A161AC">
              <w:rPr>
                <w:color w:val="auto"/>
                <w:sz w:val="22"/>
                <w:szCs w:val="22"/>
                <w:lang w:bidi="en-US"/>
              </w:rPr>
              <w:t>(6) Primary care</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24DA7" w14:textId="77777777" w:rsidR="006A5447" w:rsidRPr="00A161AC" w:rsidRDefault="006A5447" w:rsidP="006A5447">
            <w:pPr>
              <w:spacing w:after="0" w:line="0" w:lineRule="atLeast"/>
              <w:ind w:left="113"/>
              <w:jc w:val="center"/>
              <w:textboxTightWrap w:val="none"/>
              <w:rPr>
                <w:color w:val="auto"/>
                <w:sz w:val="22"/>
                <w:szCs w:val="22"/>
                <w:lang w:bidi="en-US"/>
              </w:rPr>
            </w:pPr>
            <w:r w:rsidRPr="00A161AC">
              <w:rPr>
                <w:rFonts w:cs="Arial"/>
                <w:color w:val="auto"/>
                <w:sz w:val="22"/>
                <w:szCs w:val="22"/>
                <w:lang w:bidi="en-US"/>
              </w:rPr>
              <w:t>Proportion of regular general practice appointments delivered within 14 days of request</w:t>
            </w:r>
          </w:p>
        </w:tc>
        <w:tc>
          <w:tcPr>
            <w:tcW w:w="2552" w:type="dxa"/>
            <w:vMerge w:val="restart"/>
            <w:tcBorders>
              <w:top w:val="single" w:sz="4" w:space="0" w:color="auto"/>
              <w:left w:val="single" w:sz="4" w:space="0" w:color="auto"/>
              <w:right w:val="single" w:sz="4" w:space="0" w:color="auto"/>
            </w:tcBorders>
            <w:shd w:val="clear" w:color="auto" w:fill="FFFFFF"/>
            <w:vAlign w:val="center"/>
            <w:hideMark/>
          </w:tcPr>
          <w:p w14:paraId="2B19E5F2"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rFonts w:cs="Arial"/>
                <w:color w:val="auto"/>
                <w:sz w:val="22"/>
                <w:szCs w:val="22"/>
                <w:lang w:bidi="en-US"/>
              </w:rPr>
              <w:t>Number of emergency admissions for ambulatory care sensitive conditions</w:t>
            </w:r>
          </w:p>
        </w:tc>
        <w:tc>
          <w:tcPr>
            <w:tcW w:w="2552" w:type="dxa"/>
            <w:vMerge w:val="restart"/>
            <w:tcBorders>
              <w:top w:val="single" w:sz="4" w:space="0" w:color="auto"/>
              <w:left w:val="single" w:sz="4" w:space="0" w:color="auto"/>
              <w:right w:val="single" w:sz="4" w:space="0" w:color="auto"/>
            </w:tcBorders>
            <w:shd w:val="clear" w:color="auto" w:fill="FFFFFF"/>
          </w:tcPr>
          <w:p w14:paraId="1B974C6F" w14:textId="77777777" w:rsidR="006A5447" w:rsidRPr="00A161AC" w:rsidRDefault="006A5447" w:rsidP="006A5447">
            <w:pPr>
              <w:spacing w:after="0" w:line="0" w:lineRule="atLeast"/>
              <w:ind w:left="113"/>
              <w:jc w:val="center"/>
              <w:textboxTightWrap w:val="none"/>
              <w:rPr>
                <w:color w:val="auto"/>
                <w:sz w:val="22"/>
                <w:szCs w:val="22"/>
                <w:lang w:bidi="en-US"/>
              </w:rPr>
            </w:pPr>
          </w:p>
          <w:p w14:paraId="165BF7CC" w14:textId="77777777" w:rsidR="006A5447" w:rsidRPr="00A161AC" w:rsidRDefault="006A5447" w:rsidP="006A5447">
            <w:pPr>
              <w:spacing w:after="0" w:line="0" w:lineRule="atLeast"/>
              <w:ind w:left="113"/>
              <w:jc w:val="center"/>
              <w:textboxTightWrap w:val="none"/>
              <w:rPr>
                <w:color w:val="auto"/>
                <w:sz w:val="22"/>
                <w:szCs w:val="22"/>
                <w:lang w:bidi="en-US"/>
              </w:rPr>
            </w:pPr>
          </w:p>
          <w:p w14:paraId="613E0CCC"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color w:val="auto"/>
                <w:sz w:val="22"/>
                <w:szCs w:val="22"/>
                <w:lang w:bidi="en-US"/>
              </w:rPr>
              <w:t>To be developed in year 1</w:t>
            </w:r>
          </w:p>
        </w:tc>
        <w:tc>
          <w:tcPr>
            <w:tcW w:w="2552" w:type="dxa"/>
            <w:vMerge w:val="restart"/>
            <w:tcBorders>
              <w:top w:val="single" w:sz="4" w:space="0" w:color="auto"/>
              <w:left w:val="single" w:sz="4" w:space="0" w:color="auto"/>
              <w:right w:val="single" w:sz="4" w:space="0" w:color="auto"/>
            </w:tcBorders>
            <w:shd w:val="clear" w:color="auto" w:fill="FFFFFF"/>
          </w:tcPr>
          <w:p w14:paraId="247DD716" w14:textId="77777777" w:rsidR="006A5447" w:rsidRPr="00A161AC" w:rsidRDefault="006A5447" w:rsidP="006A5447">
            <w:pPr>
              <w:spacing w:after="0" w:line="0" w:lineRule="atLeast"/>
              <w:ind w:left="113"/>
              <w:jc w:val="center"/>
              <w:textboxTightWrap w:val="none"/>
              <w:rPr>
                <w:color w:val="auto"/>
                <w:sz w:val="22"/>
                <w:szCs w:val="22"/>
                <w:lang w:bidi="en-US"/>
              </w:rPr>
            </w:pPr>
          </w:p>
          <w:p w14:paraId="0AB12CD4" w14:textId="77777777" w:rsidR="006A5447" w:rsidRPr="00A161AC" w:rsidRDefault="006A5447" w:rsidP="006A5447">
            <w:pPr>
              <w:spacing w:after="0" w:line="0" w:lineRule="atLeast"/>
              <w:ind w:left="113"/>
              <w:jc w:val="center"/>
              <w:textboxTightWrap w:val="none"/>
              <w:rPr>
                <w:color w:val="auto"/>
                <w:sz w:val="22"/>
                <w:szCs w:val="22"/>
                <w:lang w:bidi="en-US"/>
              </w:rPr>
            </w:pPr>
          </w:p>
          <w:p w14:paraId="4A117F95"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color w:val="auto"/>
                <w:sz w:val="22"/>
                <w:szCs w:val="22"/>
                <w:lang w:bidi="en-US"/>
              </w:rPr>
              <w:t>To be developed in year 1</w:t>
            </w:r>
          </w:p>
        </w:tc>
        <w:tc>
          <w:tcPr>
            <w:tcW w:w="2552" w:type="dxa"/>
            <w:vMerge w:val="restart"/>
            <w:tcBorders>
              <w:top w:val="single" w:sz="4" w:space="0" w:color="auto"/>
              <w:left w:val="single" w:sz="4" w:space="0" w:color="auto"/>
              <w:right w:val="single" w:sz="4" w:space="0" w:color="auto"/>
            </w:tcBorders>
            <w:shd w:val="clear" w:color="auto" w:fill="FFFFFF"/>
          </w:tcPr>
          <w:p w14:paraId="1C58444F" w14:textId="77777777" w:rsidR="006A5447" w:rsidRPr="00A161AC" w:rsidRDefault="006A5447" w:rsidP="006A5447">
            <w:pPr>
              <w:spacing w:after="0" w:line="0" w:lineRule="atLeast"/>
              <w:ind w:left="113"/>
              <w:jc w:val="center"/>
              <w:textboxTightWrap w:val="none"/>
              <w:rPr>
                <w:color w:val="auto"/>
                <w:sz w:val="22"/>
                <w:szCs w:val="22"/>
                <w:lang w:bidi="en-US"/>
              </w:rPr>
            </w:pPr>
          </w:p>
          <w:p w14:paraId="014141A0" w14:textId="77777777" w:rsidR="006A5447" w:rsidRPr="00A161AC" w:rsidRDefault="006A5447" w:rsidP="006A5447">
            <w:pPr>
              <w:spacing w:after="0" w:line="0" w:lineRule="atLeast"/>
              <w:ind w:left="113"/>
              <w:jc w:val="center"/>
              <w:textboxTightWrap w:val="none"/>
              <w:rPr>
                <w:color w:val="auto"/>
                <w:sz w:val="22"/>
                <w:szCs w:val="22"/>
                <w:lang w:bidi="en-US"/>
              </w:rPr>
            </w:pPr>
          </w:p>
          <w:p w14:paraId="3F7F5012"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color w:val="auto"/>
                <w:sz w:val="22"/>
                <w:szCs w:val="22"/>
                <w:lang w:bidi="en-US"/>
              </w:rPr>
              <w:t>To be developed in year 1</w:t>
            </w:r>
          </w:p>
        </w:tc>
      </w:tr>
      <w:tr w:rsidR="006A5447" w:rsidRPr="00A161AC" w14:paraId="4BBAD9E3" w14:textId="77777777" w:rsidTr="006A5447">
        <w:tc>
          <w:tcPr>
            <w:tcW w:w="1554" w:type="dxa"/>
            <w:vMerge/>
            <w:tcBorders>
              <w:left w:val="single" w:sz="4" w:space="0" w:color="auto"/>
              <w:right w:val="single" w:sz="4" w:space="0" w:color="auto"/>
            </w:tcBorders>
            <w:vAlign w:val="center"/>
            <w:hideMark/>
          </w:tcPr>
          <w:p w14:paraId="47D40F45"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2D5AABA0" w14:textId="77777777" w:rsidR="006A5447" w:rsidRPr="00A161AC" w:rsidRDefault="006A5447" w:rsidP="006A5447">
            <w:pPr>
              <w:spacing w:after="200" w:line="276" w:lineRule="auto"/>
              <w:textboxTightWrap w:val="none"/>
              <w:rPr>
                <w:color w:val="auto"/>
                <w:sz w:val="22"/>
                <w:szCs w:val="22"/>
                <w:lang w:bidi="en-U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76DFA3" w14:textId="77777777" w:rsidR="006A5447" w:rsidRPr="00A161AC" w:rsidRDefault="006A5447" w:rsidP="006A5447">
            <w:pPr>
              <w:spacing w:after="0" w:line="0" w:lineRule="atLeast"/>
              <w:ind w:left="113"/>
              <w:jc w:val="center"/>
              <w:textboxTightWrap w:val="none"/>
              <w:rPr>
                <w:color w:val="auto"/>
                <w:sz w:val="22"/>
                <w:szCs w:val="22"/>
                <w:lang w:bidi="en-US"/>
              </w:rPr>
            </w:pPr>
            <w:r w:rsidRPr="00A161AC">
              <w:rPr>
                <w:rFonts w:cs="Arial"/>
                <w:color w:val="auto"/>
                <w:sz w:val="22"/>
                <w:szCs w:val="22"/>
                <w:lang w:bidi="en-US"/>
              </w:rPr>
              <w:t>Units of dental activity delivered vs pre-pandemic baseline</w:t>
            </w:r>
          </w:p>
        </w:tc>
        <w:tc>
          <w:tcPr>
            <w:tcW w:w="2552" w:type="dxa"/>
            <w:vMerge/>
            <w:tcBorders>
              <w:left w:val="single" w:sz="4" w:space="0" w:color="auto"/>
              <w:bottom w:val="single" w:sz="4" w:space="0" w:color="auto"/>
              <w:right w:val="single" w:sz="4" w:space="0" w:color="auto"/>
            </w:tcBorders>
            <w:shd w:val="clear" w:color="auto" w:fill="FFFFFF"/>
            <w:vAlign w:val="center"/>
            <w:hideMark/>
          </w:tcPr>
          <w:p w14:paraId="0D6E20C6" w14:textId="77777777" w:rsidR="006A5447" w:rsidRPr="00A161AC" w:rsidRDefault="006A5447" w:rsidP="006A5447">
            <w:pPr>
              <w:spacing w:after="0" w:line="0" w:lineRule="atLeast"/>
              <w:ind w:left="113"/>
              <w:jc w:val="center"/>
              <w:textboxTightWrap w:val="none"/>
              <w:rPr>
                <w:rFonts w:cs="Arial"/>
                <w:color w:val="auto"/>
                <w:sz w:val="22"/>
                <w:szCs w:val="22"/>
                <w:lang w:bidi="en-US"/>
              </w:rPr>
            </w:pPr>
          </w:p>
        </w:tc>
        <w:tc>
          <w:tcPr>
            <w:tcW w:w="2552" w:type="dxa"/>
            <w:vMerge/>
            <w:tcBorders>
              <w:left w:val="single" w:sz="4" w:space="0" w:color="auto"/>
              <w:bottom w:val="single" w:sz="4" w:space="0" w:color="auto"/>
              <w:right w:val="single" w:sz="4" w:space="0" w:color="auto"/>
            </w:tcBorders>
            <w:shd w:val="clear" w:color="auto" w:fill="FFFFFF"/>
            <w:vAlign w:val="center"/>
          </w:tcPr>
          <w:p w14:paraId="54EBF404" w14:textId="77777777" w:rsidR="006A5447" w:rsidRPr="00A161AC" w:rsidRDefault="006A5447" w:rsidP="006A5447">
            <w:pPr>
              <w:spacing w:after="0" w:line="0" w:lineRule="atLeast"/>
              <w:ind w:left="113"/>
              <w:jc w:val="center"/>
              <w:textboxTightWrap w:val="none"/>
              <w:rPr>
                <w:rFonts w:cs="Arial"/>
                <w:color w:val="auto"/>
                <w:sz w:val="22"/>
                <w:szCs w:val="22"/>
                <w:lang w:bidi="en-US"/>
              </w:rPr>
            </w:pPr>
          </w:p>
        </w:tc>
        <w:tc>
          <w:tcPr>
            <w:tcW w:w="2552" w:type="dxa"/>
            <w:vMerge/>
            <w:tcBorders>
              <w:left w:val="single" w:sz="4" w:space="0" w:color="auto"/>
              <w:bottom w:val="single" w:sz="4" w:space="0" w:color="auto"/>
              <w:right w:val="single" w:sz="4" w:space="0" w:color="auto"/>
            </w:tcBorders>
            <w:shd w:val="clear" w:color="auto" w:fill="FFFFFF"/>
          </w:tcPr>
          <w:p w14:paraId="7AFD1E1B" w14:textId="77777777" w:rsidR="006A5447" w:rsidRPr="00A161AC" w:rsidRDefault="006A5447" w:rsidP="006A5447">
            <w:pPr>
              <w:spacing w:after="0" w:line="0" w:lineRule="atLeast"/>
              <w:ind w:left="113"/>
              <w:jc w:val="center"/>
              <w:textboxTightWrap w:val="none"/>
              <w:rPr>
                <w:rFonts w:cs="Arial"/>
                <w:color w:val="auto"/>
                <w:sz w:val="22"/>
                <w:szCs w:val="22"/>
                <w:lang w:bidi="en-US"/>
              </w:rPr>
            </w:pPr>
          </w:p>
        </w:tc>
        <w:tc>
          <w:tcPr>
            <w:tcW w:w="2552" w:type="dxa"/>
            <w:vMerge/>
            <w:tcBorders>
              <w:left w:val="single" w:sz="4" w:space="0" w:color="auto"/>
              <w:bottom w:val="single" w:sz="4" w:space="0" w:color="auto"/>
              <w:right w:val="single" w:sz="4" w:space="0" w:color="auto"/>
            </w:tcBorders>
            <w:shd w:val="clear" w:color="auto" w:fill="FFFFFF"/>
          </w:tcPr>
          <w:p w14:paraId="5B78FE26" w14:textId="77777777" w:rsidR="006A5447" w:rsidRPr="00A161AC" w:rsidRDefault="006A5447" w:rsidP="006A5447">
            <w:pPr>
              <w:spacing w:after="0" w:line="0" w:lineRule="atLeast"/>
              <w:ind w:left="113"/>
              <w:jc w:val="center"/>
              <w:textboxTightWrap w:val="none"/>
              <w:rPr>
                <w:rFonts w:cs="Arial"/>
                <w:color w:val="auto"/>
                <w:sz w:val="22"/>
                <w:szCs w:val="22"/>
                <w:lang w:bidi="en-US"/>
              </w:rPr>
            </w:pPr>
          </w:p>
        </w:tc>
      </w:tr>
      <w:tr w:rsidR="006A5447" w:rsidRPr="00A161AC" w14:paraId="04B392F5" w14:textId="77777777" w:rsidTr="006A5447">
        <w:tc>
          <w:tcPr>
            <w:tcW w:w="1554" w:type="dxa"/>
            <w:vMerge/>
            <w:tcBorders>
              <w:left w:val="single" w:sz="4" w:space="0" w:color="auto"/>
              <w:right w:val="single" w:sz="4" w:space="0" w:color="auto"/>
            </w:tcBorders>
            <w:vAlign w:val="center"/>
          </w:tcPr>
          <w:p w14:paraId="5A45AA63" w14:textId="77777777" w:rsidR="006A5447" w:rsidRPr="00A161AC" w:rsidRDefault="006A5447" w:rsidP="006A5447">
            <w:pPr>
              <w:spacing w:after="200" w:line="276" w:lineRule="auto"/>
              <w:textboxTightWrap w:val="none"/>
              <w:rPr>
                <w:color w:val="auto"/>
                <w:sz w:val="22"/>
                <w:szCs w:val="22"/>
                <w:lang w:bidi="en-US"/>
              </w:rPr>
            </w:pPr>
          </w:p>
        </w:tc>
        <w:tc>
          <w:tcPr>
            <w:tcW w:w="1464" w:type="dxa"/>
            <w:tcBorders>
              <w:top w:val="single" w:sz="4" w:space="0" w:color="auto"/>
              <w:left w:val="single" w:sz="4" w:space="0" w:color="auto"/>
              <w:right w:val="single" w:sz="4" w:space="0" w:color="auto"/>
            </w:tcBorders>
            <w:shd w:val="clear" w:color="auto" w:fill="FFFFFF"/>
            <w:vAlign w:val="center"/>
          </w:tcPr>
          <w:p w14:paraId="3DA67866"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(7) Community care</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3665B221" w14:textId="77777777" w:rsidR="006A5447" w:rsidRPr="00A161AC" w:rsidRDefault="006A5447" w:rsidP="006A5447">
            <w:pPr>
              <w:spacing w:after="0" w:line="0" w:lineRule="atLeast"/>
              <w:jc w:val="center"/>
              <w:textboxTightWrap w:val="none"/>
              <w:rPr>
                <w:color w:val="auto"/>
                <w:sz w:val="22"/>
                <w:szCs w:val="22"/>
                <w:lang w:bidi="en-US"/>
              </w:rPr>
            </w:pPr>
            <w:r w:rsidRPr="00A161AC">
              <w:rPr>
                <w:rFonts w:cs="Arial"/>
                <w:color w:val="auto"/>
                <w:sz w:val="22"/>
                <w:szCs w:val="22"/>
                <w:lang w:bidi="en-US"/>
              </w:rPr>
              <w:t>Proportion of pathway 3 inpatients with no criteria to reside</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66F63FE"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Proportion of Category 4 calls resulting in ambulance response</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A5BF678"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Proportion of pathway 2 inpatients with no criteria to reside</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50B225A"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Community mental health access rate</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731987C"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To be developed in year 1</w:t>
            </w:r>
          </w:p>
        </w:tc>
      </w:tr>
      <w:tr w:rsidR="006A5447" w:rsidRPr="00A161AC" w14:paraId="5FEA07A1" w14:textId="77777777" w:rsidTr="006A5447">
        <w:tc>
          <w:tcPr>
            <w:tcW w:w="1554" w:type="dxa"/>
            <w:vMerge/>
            <w:tcBorders>
              <w:left w:val="single" w:sz="4" w:space="0" w:color="auto"/>
              <w:right w:val="single" w:sz="4" w:space="0" w:color="auto"/>
            </w:tcBorders>
            <w:vAlign w:val="center"/>
            <w:hideMark/>
          </w:tcPr>
          <w:p w14:paraId="78198689" w14:textId="77777777" w:rsidR="006A5447" w:rsidRPr="00A161AC" w:rsidRDefault="006A5447" w:rsidP="006A5447">
            <w:pPr>
              <w:spacing w:after="200" w:line="276" w:lineRule="auto"/>
              <w:textboxTightWrap w:val="none"/>
              <w:rPr>
                <w:color w:val="auto"/>
                <w:sz w:val="22"/>
                <w:szCs w:val="22"/>
                <w:lang w:bidi="en-US"/>
              </w:rPr>
            </w:pPr>
          </w:p>
        </w:tc>
        <w:tc>
          <w:tcPr>
            <w:tcW w:w="1464" w:type="dxa"/>
            <w:tcBorders>
              <w:top w:val="single" w:sz="4" w:space="0" w:color="auto"/>
              <w:left w:val="single" w:sz="4" w:space="0" w:color="auto"/>
              <w:right w:val="single" w:sz="4" w:space="0" w:color="auto"/>
            </w:tcBorders>
            <w:shd w:val="clear" w:color="auto" w:fill="FFFFFF"/>
            <w:vAlign w:val="center"/>
            <w:hideMark/>
          </w:tcPr>
          <w:p w14:paraId="064B2531"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(8) Mental health services</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E802D"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Standardised mental health bed days per 100k head of population</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E7FABD"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Number of mental health patients spending &gt; 12 hours in an emergency dept</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B8B0DEF"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To developed in year 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0A26B9B"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Number of beds occupied by out of area placements</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206F4CD"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To be developed in year 1</w:t>
            </w:r>
          </w:p>
        </w:tc>
      </w:tr>
      <w:tr w:rsidR="006A5447" w:rsidRPr="00A161AC" w14:paraId="46337AC2" w14:textId="77777777" w:rsidTr="006A5447">
        <w:tc>
          <w:tcPr>
            <w:tcW w:w="1554" w:type="dxa"/>
            <w:vMerge/>
            <w:tcBorders>
              <w:left w:val="single" w:sz="4" w:space="0" w:color="auto"/>
              <w:right w:val="single" w:sz="4" w:space="0" w:color="auto"/>
            </w:tcBorders>
            <w:vAlign w:val="center"/>
          </w:tcPr>
          <w:p w14:paraId="30339D4F" w14:textId="77777777" w:rsidR="006A5447" w:rsidRPr="00A161AC" w:rsidRDefault="006A5447" w:rsidP="006A5447">
            <w:pPr>
              <w:spacing w:after="200" w:line="276" w:lineRule="auto"/>
              <w:textboxTightWrap w:val="none"/>
              <w:rPr>
                <w:color w:val="auto"/>
                <w:sz w:val="22"/>
                <w:szCs w:val="22"/>
                <w:lang w:bidi="en-US"/>
              </w:rPr>
            </w:pPr>
          </w:p>
        </w:tc>
        <w:tc>
          <w:tcPr>
            <w:tcW w:w="1464" w:type="dxa"/>
            <w:tcBorders>
              <w:top w:val="single" w:sz="4" w:space="0" w:color="auto"/>
              <w:left w:val="single" w:sz="4" w:space="0" w:color="auto"/>
              <w:right w:val="single" w:sz="4" w:space="0" w:color="auto"/>
            </w:tcBorders>
            <w:vAlign w:val="center"/>
          </w:tcPr>
          <w:p w14:paraId="4726A6CE" w14:textId="77777777" w:rsidR="006A5447" w:rsidRPr="00A161AC" w:rsidRDefault="006A5447" w:rsidP="006A5447">
            <w:pPr>
              <w:spacing w:after="200" w:line="276" w:lineRule="auto"/>
              <w:jc w:val="center"/>
              <w:textboxTightWrap w:val="none"/>
              <w:rPr>
                <w:color w:val="auto"/>
                <w:sz w:val="22"/>
                <w:szCs w:val="22"/>
                <w:lang w:bidi="en-US"/>
              </w:rPr>
            </w:pPr>
            <w:r w:rsidRPr="00A161AC">
              <w:rPr>
                <w:color w:val="auto"/>
                <w:sz w:val="22"/>
                <w:szCs w:val="22"/>
                <w:lang w:bidi="en-US"/>
              </w:rPr>
              <w:t>(9) Learning disabilities and autism</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30DA1523"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Proportion of people with a learning disability on the GP register receiving an annual health check</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969B38F" w14:textId="77777777" w:rsidR="006A5447" w:rsidRPr="00A161AC" w:rsidRDefault="006A5447" w:rsidP="006A5447">
            <w:pPr>
              <w:spacing w:after="0" w:line="0" w:lineRule="atLeast"/>
              <w:jc w:val="center"/>
              <w:textboxTightWrap w:val="none"/>
              <w:rPr>
                <w:color w:val="auto"/>
                <w:sz w:val="22"/>
                <w:szCs w:val="22"/>
                <w:lang w:bidi="en-US"/>
              </w:rPr>
            </w:pPr>
          </w:p>
          <w:p w14:paraId="271A589B"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color w:val="auto"/>
                <w:sz w:val="22"/>
                <w:szCs w:val="22"/>
                <w:lang w:bidi="en-US"/>
              </w:rPr>
              <w:t>To be developed in year 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8C5FC1D" w14:textId="77777777" w:rsidR="006A5447" w:rsidRPr="00A161AC" w:rsidRDefault="006A5447" w:rsidP="006A5447">
            <w:pPr>
              <w:spacing w:after="0" w:line="0" w:lineRule="atLeast"/>
              <w:jc w:val="center"/>
              <w:textboxTightWrap w:val="none"/>
              <w:rPr>
                <w:color w:val="auto"/>
                <w:sz w:val="22"/>
                <w:szCs w:val="22"/>
                <w:lang w:bidi="en-US"/>
              </w:rPr>
            </w:pPr>
          </w:p>
          <w:p w14:paraId="1E65BB28"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color w:val="auto"/>
                <w:sz w:val="22"/>
                <w:szCs w:val="22"/>
                <w:lang w:bidi="en-US"/>
              </w:rPr>
              <w:t>To be developed in year 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FC9A01C"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Number of inpatients with a learning disability or who are autistic per 1m head of population</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5101CF4"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To be developed in year 1</w:t>
            </w:r>
          </w:p>
        </w:tc>
      </w:tr>
      <w:tr w:rsidR="006A5447" w:rsidRPr="00A161AC" w14:paraId="1AF30E96" w14:textId="77777777" w:rsidTr="006A5447">
        <w:tc>
          <w:tcPr>
            <w:tcW w:w="1554" w:type="dxa"/>
            <w:vMerge/>
            <w:tcBorders>
              <w:left w:val="single" w:sz="4" w:space="0" w:color="auto"/>
              <w:right w:val="single" w:sz="4" w:space="0" w:color="auto"/>
            </w:tcBorders>
            <w:vAlign w:val="center"/>
          </w:tcPr>
          <w:p w14:paraId="3FF92E35" w14:textId="77777777" w:rsidR="006A5447" w:rsidRPr="00A161AC" w:rsidRDefault="006A5447" w:rsidP="006A5447">
            <w:pPr>
              <w:spacing w:after="200" w:line="276" w:lineRule="auto"/>
              <w:textboxTightWrap w:val="none"/>
              <w:rPr>
                <w:color w:val="auto"/>
                <w:sz w:val="22"/>
                <w:szCs w:val="22"/>
                <w:lang w:bidi="en-US"/>
              </w:rPr>
            </w:pPr>
          </w:p>
        </w:tc>
        <w:tc>
          <w:tcPr>
            <w:tcW w:w="1464" w:type="dxa"/>
            <w:tcBorders>
              <w:left w:val="single" w:sz="4" w:space="0" w:color="auto"/>
              <w:right w:val="single" w:sz="4" w:space="0" w:color="auto"/>
            </w:tcBorders>
            <w:vAlign w:val="center"/>
          </w:tcPr>
          <w:p w14:paraId="556E76E7" w14:textId="77777777" w:rsidR="006A5447" w:rsidRPr="00A161AC" w:rsidRDefault="006A5447" w:rsidP="006A5447">
            <w:pPr>
              <w:spacing w:after="200" w:line="276" w:lineRule="auto"/>
              <w:jc w:val="center"/>
              <w:textboxTightWrap w:val="none"/>
              <w:rPr>
                <w:color w:val="auto"/>
                <w:sz w:val="22"/>
                <w:szCs w:val="22"/>
                <w:lang w:bidi="en-US"/>
              </w:rPr>
            </w:pPr>
            <w:r w:rsidRPr="00A161AC">
              <w:rPr>
                <w:color w:val="auto"/>
                <w:sz w:val="22"/>
                <w:szCs w:val="22"/>
                <w:lang w:bidi="en-US"/>
              </w:rPr>
              <w:t>(10) Frailty</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09D458FC"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Continuing healthcare proportion of referrals completed within 28 days</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2665F97"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Number of emergency admissions for people with multiple long-term conditions</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C6DE57F"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Average length of stay for patients over the age of 65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F09F11C"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Number of older adults discharged with a length of stay over 90 days per 100k total discharges</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B738CF2" w14:textId="77777777" w:rsidR="006A5447" w:rsidRPr="00A161AC" w:rsidRDefault="006A5447" w:rsidP="006A5447">
            <w:pPr>
              <w:spacing w:after="0" w:line="0" w:lineRule="atLeast"/>
              <w:jc w:val="center"/>
              <w:textboxTightWrap w:val="none"/>
              <w:rPr>
                <w:rFonts w:cs="Arial"/>
                <w:color w:val="auto"/>
                <w:sz w:val="22"/>
                <w:szCs w:val="22"/>
                <w:lang w:bidi="en-US"/>
              </w:rPr>
            </w:pPr>
          </w:p>
        </w:tc>
      </w:tr>
      <w:tr w:rsidR="006A5447" w:rsidRPr="00A161AC" w14:paraId="569EE786" w14:textId="77777777" w:rsidTr="006A5447">
        <w:trPr>
          <w:trHeight w:val="1440"/>
        </w:trPr>
        <w:tc>
          <w:tcPr>
            <w:tcW w:w="1554" w:type="dxa"/>
            <w:vMerge/>
            <w:tcBorders>
              <w:left w:val="single" w:sz="4" w:space="0" w:color="auto"/>
              <w:right w:val="single" w:sz="4" w:space="0" w:color="auto"/>
            </w:tcBorders>
            <w:vAlign w:val="center"/>
          </w:tcPr>
          <w:p w14:paraId="79834EE7" w14:textId="77777777" w:rsidR="006A5447" w:rsidRPr="00A161AC" w:rsidRDefault="006A5447" w:rsidP="006A5447">
            <w:pPr>
              <w:spacing w:after="200" w:line="276" w:lineRule="auto"/>
              <w:textboxTightWrap w:val="none"/>
              <w:rPr>
                <w:color w:val="auto"/>
                <w:sz w:val="22"/>
                <w:szCs w:val="22"/>
                <w:lang w:bidi="en-US"/>
              </w:rPr>
            </w:pPr>
          </w:p>
        </w:tc>
        <w:tc>
          <w:tcPr>
            <w:tcW w:w="1464" w:type="dxa"/>
            <w:tcBorders>
              <w:left w:val="single" w:sz="4" w:space="0" w:color="auto"/>
              <w:right w:val="single" w:sz="4" w:space="0" w:color="auto"/>
            </w:tcBorders>
            <w:vAlign w:val="center"/>
          </w:tcPr>
          <w:p w14:paraId="3D76FFE2" w14:textId="77777777" w:rsidR="006A5447" w:rsidRPr="00A161AC" w:rsidRDefault="006A5447" w:rsidP="006A5447">
            <w:pPr>
              <w:spacing w:after="200" w:line="276" w:lineRule="auto"/>
              <w:jc w:val="center"/>
              <w:textboxTightWrap w:val="none"/>
              <w:rPr>
                <w:color w:val="auto"/>
                <w:sz w:val="22"/>
                <w:szCs w:val="22"/>
                <w:lang w:bidi="en-US"/>
              </w:rPr>
            </w:pPr>
            <w:r w:rsidRPr="00A161AC">
              <w:rPr>
                <w:color w:val="auto"/>
                <w:sz w:val="22"/>
                <w:szCs w:val="22"/>
                <w:lang w:bidi="en-US"/>
              </w:rPr>
              <w:t>(11) Children and young people</w:t>
            </w:r>
          </w:p>
        </w:tc>
        <w:tc>
          <w:tcPr>
            <w:tcW w:w="2551" w:type="dxa"/>
            <w:tcBorders>
              <w:top w:val="single" w:sz="4" w:space="0" w:color="auto"/>
              <w:left w:val="single" w:sz="4" w:space="0" w:color="auto"/>
              <w:right w:val="single" w:sz="4" w:space="0" w:color="auto"/>
            </w:tcBorders>
            <w:shd w:val="clear" w:color="auto" w:fill="FFFFFF"/>
            <w:vAlign w:val="center"/>
          </w:tcPr>
          <w:p w14:paraId="194366A2" w14:textId="77777777" w:rsidR="006A5447" w:rsidRPr="00A161AC" w:rsidRDefault="006A5447" w:rsidP="006A5447">
            <w:pPr>
              <w:spacing w:after="0" w:line="0" w:lineRule="atLeast"/>
              <w:jc w:val="center"/>
              <w:textboxTightWrap w:val="none"/>
              <w:rPr>
                <w:color w:val="auto"/>
                <w:sz w:val="22"/>
                <w:szCs w:val="22"/>
                <w:lang w:bidi="en-US"/>
              </w:rPr>
            </w:pPr>
            <w:r w:rsidRPr="00A161AC">
              <w:rPr>
                <w:rFonts w:cs="Arial"/>
                <w:color w:val="auto"/>
                <w:sz w:val="22"/>
                <w:szCs w:val="22"/>
                <w:lang w:bidi="en-US"/>
              </w:rPr>
              <w:t>Emergency admission rate for under 18s</w:t>
            </w:r>
          </w:p>
        </w:tc>
        <w:tc>
          <w:tcPr>
            <w:tcW w:w="2552" w:type="dxa"/>
            <w:tcBorders>
              <w:top w:val="single" w:sz="4" w:space="0" w:color="auto"/>
              <w:left w:val="single" w:sz="4" w:space="0" w:color="auto"/>
              <w:right w:val="single" w:sz="4" w:space="0" w:color="auto"/>
            </w:tcBorders>
            <w:shd w:val="clear" w:color="auto" w:fill="FFFFFF"/>
            <w:vAlign w:val="center"/>
          </w:tcPr>
          <w:p w14:paraId="49C50D0C"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Under 18 elective activity rate vs baseline</w:t>
            </w:r>
          </w:p>
        </w:tc>
        <w:tc>
          <w:tcPr>
            <w:tcW w:w="2552" w:type="dxa"/>
            <w:tcBorders>
              <w:top w:val="single" w:sz="4" w:space="0" w:color="auto"/>
              <w:left w:val="single" w:sz="4" w:space="0" w:color="auto"/>
              <w:right w:val="single" w:sz="4" w:space="0" w:color="auto"/>
            </w:tcBorders>
            <w:shd w:val="clear" w:color="auto" w:fill="FFFFFF"/>
            <w:vAlign w:val="center"/>
          </w:tcPr>
          <w:p w14:paraId="2792680B"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To be developed in year 1</w:t>
            </w:r>
          </w:p>
        </w:tc>
        <w:tc>
          <w:tcPr>
            <w:tcW w:w="2552" w:type="dxa"/>
            <w:tcBorders>
              <w:top w:val="single" w:sz="4" w:space="0" w:color="auto"/>
              <w:left w:val="single" w:sz="4" w:space="0" w:color="auto"/>
              <w:right w:val="single" w:sz="4" w:space="0" w:color="auto"/>
            </w:tcBorders>
            <w:shd w:val="clear" w:color="auto" w:fill="FFFFFF"/>
            <w:vAlign w:val="center"/>
          </w:tcPr>
          <w:p w14:paraId="36AE29F1"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Number of children and young people accessing mental health services as a % of population</w:t>
            </w:r>
          </w:p>
        </w:tc>
        <w:tc>
          <w:tcPr>
            <w:tcW w:w="2552" w:type="dxa"/>
            <w:tcBorders>
              <w:top w:val="single" w:sz="4" w:space="0" w:color="auto"/>
              <w:left w:val="single" w:sz="4" w:space="0" w:color="auto"/>
              <w:right w:val="single" w:sz="4" w:space="0" w:color="auto"/>
            </w:tcBorders>
            <w:shd w:val="clear" w:color="auto" w:fill="FFFFFF"/>
            <w:vAlign w:val="center"/>
          </w:tcPr>
          <w:p w14:paraId="528BC204"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To be developed in year 1</w:t>
            </w:r>
          </w:p>
        </w:tc>
      </w:tr>
      <w:tr w:rsidR="006A5447" w:rsidRPr="00A161AC" w14:paraId="40572A29" w14:textId="77777777" w:rsidTr="006A5447">
        <w:trPr>
          <w:trHeight w:val="379"/>
        </w:trPr>
        <w:tc>
          <w:tcPr>
            <w:tcW w:w="1554" w:type="dxa"/>
            <w:vMerge/>
            <w:tcBorders>
              <w:left w:val="single" w:sz="4" w:space="0" w:color="auto"/>
              <w:right w:val="single" w:sz="4" w:space="0" w:color="auto"/>
            </w:tcBorders>
            <w:vAlign w:val="center"/>
          </w:tcPr>
          <w:p w14:paraId="2924D1E1"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val="restart"/>
            <w:tcBorders>
              <w:left w:val="single" w:sz="4" w:space="0" w:color="auto"/>
              <w:right w:val="single" w:sz="4" w:space="0" w:color="auto"/>
            </w:tcBorders>
            <w:vAlign w:val="center"/>
          </w:tcPr>
          <w:p w14:paraId="0494622F" w14:textId="77777777" w:rsidR="006A5447" w:rsidRPr="00A161AC" w:rsidRDefault="006A5447" w:rsidP="006A5447">
            <w:pPr>
              <w:spacing w:after="200" w:line="276" w:lineRule="auto"/>
              <w:jc w:val="center"/>
              <w:textboxTightWrap w:val="none"/>
              <w:rPr>
                <w:color w:val="auto"/>
                <w:sz w:val="22"/>
                <w:szCs w:val="22"/>
                <w:lang w:bidi="en-US"/>
              </w:rPr>
            </w:pPr>
            <w:r w:rsidRPr="00A161AC">
              <w:rPr>
                <w:color w:val="auto"/>
                <w:sz w:val="22"/>
                <w:szCs w:val="22"/>
                <w:lang w:bidi="en-US"/>
              </w:rPr>
              <w:t>(12) Outcomes</w:t>
            </w:r>
          </w:p>
        </w:tc>
        <w:tc>
          <w:tcPr>
            <w:tcW w:w="2551" w:type="dxa"/>
            <w:tcBorders>
              <w:left w:val="single" w:sz="4" w:space="0" w:color="auto"/>
              <w:bottom w:val="single" w:sz="4" w:space="0" w:color="auto"/>
              <w:right w:val="single" w:sz="4" w:space="0" w:color="auto"/>
            </w:tcBorders>
            <w:shd w:val="clear" w:color="auto" w:fill="FFFFFF"/>
            <w:vAlign w:val="center"/>
          </w:tcPr>
          <w:p w14:paraId="4B875674"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Health-span - the period of life spent in good health, free from the chronic diseases and disabilities of aging</w:t>
            </w:r>
          </w:p>
        </w:tc>
        <w:tc>
          <w:tcPr>
            <w:tcW w:w="2552" w:type="dxa"/>
            <w:tcBorders>
              <w:top w:val="single" w:sz="4" w:space="0" w:color="auto"/>
              <w:left w:val="single" w:sz="4" w:space="0" w:color="auto"/>
              <w:right w:val="single" w:sz="4" w:space="0" w:color="auto"/>
            </w:tcBorders>
            <w:shd w:val="clear" w:color="auto" w:fill="FFFFFF"/>
            <w:vAlign w:val="center"/>
          </w:tcPr>
          <w:p w14:paraId="220C6E85"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Readmission rate</w:t>
            </w:r>
          </w:p>
        </w:tc>
        <w:tc>
          <w:tcPr>
            <w:tcW w:w="2552" w:type="dxa"/>
            <w:vMerge w:val="restart"/>
            <w:tcBorders>
              <w:left w:val="single" w:sz="4" w:space="0" w:color="auto"/>
              <w:right w:val="single" w:sz="4" w:space="0" w:color="auto"/>
            </w:tcBorders>
            <w:shd w:val="clear" w:color="auto" w:fill="FFFFFF"/>
            <w:vAlign w:val="center"/>
          </w:tcPr>
          <w:p w14:paraId="51F897A4"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Readmission rate</w:t>
            </w:r>
          </w:p>
        </w:tc>
        <w:tc>
          <w:tcPr>
            <w:tcW w:w="2552" w:type="dxa"/>
            <w:vMerge w:val="restart"/>
            <w:tcBorders>
              <w:left w:val="single" w:sz="4" w:space="0" w:color="auto"/>
              <w:right w:val="single" w:sz="4" w:space="0" w:color="auto"/>
            </w:tcBorders>
            <w:shd w:val="clear" w:color="auto" w:fill="FFFFFF"/>
            <w:vAlign w:val="center"/>
          </w:tcPr>
          <w:p w14:paraId="48DE58AD"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Readmission rate</w:t>
            </w:r>
          </w:p>
        </w:tc>
        <w:tc>
          <w:tcPr>
            <w:tcW w:w="2552" w:type="dxa"/>
            <w:vMerge w:val="restart"/>
            <w:tcBorders>
              <w:left w:val="single" w:sz="4" w:space="0" w:color="auto"/>
              <w:right w:val="single" w:sz="4" w:space="0" w:color="auto"/>
            </w:tcBorders>
            <w:shd w:val="clear" w:color="auto" w:fill="FFFFFF"/>
            <w:vAlign w:val="center"/>
          </w:tcPr>
          <w:p w14:paraId="14FCC67B"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To be developed in year 1</w:t>
            </w:r>
          </w:p>
        </w:tc>
      </w:tr>
      <w:tr w:rsidR="006A5447" w:rsidRPr="00A161AC" w14:paraId="7C3BD96C" w14:textId="77777777" w:rsidTr="006A5447">
        <w:trPr>
          <w:trHeight w:val="277"/>
        </w:trPr>
        <w:tc>
          <w:tcPr>
            <w:tcW w:w="1554" w:type="dxa"/>
            <w:vMerge/>
            <w:tcBorders>
              <w:left w:val="single" w:sz="4" w:space="0" w:color="auto"/>
              <w:right w:val="single" w:sz="4" w:space="0" w:color="auto"/>
            </w:tcBorders>
            <w:vAlign w:val="center"/>
          </w:tcPr>
          <w:p w14:paraId="6AF939B0"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tcBorders>
              <w:left w:val="single" w:sz="4" w:space="0" w:color="auto"/>
              <w:right w:val="single" w:sz="4" w:space="0" w:color="auto"/>
            </w:tcBorders>
            <w:vAlign w:val="center"/>
          </w:tcPr>
          <w:p w14:paraId="76270A1F" w14:textId="77777777" w:rsidR="006A5447" w:rsidRPr="00A161AC" w:rsidRDefault="006A5447" w:rsidP="006A5447">
            <w:pPr>
              <w:spacing w:after="200" w:line="276" w:lineRule="auto"/>
              <w:jc w:val="center"/>
              <w:textboxTightWrap w:val="none"/>
              <w:rPr>
                <w:color w:val="auto"/>
                <w:sz w:val="22"/>
                <w:szCs w:val="22"/>
                <w:lang w:bidi="en-US"/>
              </w:rPr>
            </w:pPr>
          </w:p>
        </w:tc>
        <w:tc>
          <w:tcPr>
            <w:tcW w:w="2551" w:type="dxa"/>
            <w:tcBorders>
              <w:left w:val="single" w:sz="4" w:space="0" w:color="auto"/>
              <w:bottom w:val="single" w:sz="4" w:space="0" w:color="auto"/>
              <w:right w:val="single" w:sz="4" w:space="0" w:color="auto"/>
            </w:tcBorders>
            <w:shd w:val="clear" w:color="auto" w:fill="FFFFFF"/>
            <w:vAlign w:val="center"/>
          </w:tcPr>
          <w:p w14:paraId="52BC4AC3"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Proportion of patients in their own home 90 days post-discharge</w:t>
            </w:r>
          </w:p>
        </w:tc>
        <w:tc>
          <w:tcPr>
            <w:tcW w:w="2552" w:type="dxa"/>
            <w:tcBorders>
              <w:left w:val="single" w:sz="4" w:space="0" w:color="auto"/>
              <w:bottom w:val="single" w:sz="4" w:space="0" w:color="auto"/>
              <w:right w:val="single" w:sz="4" w:space="0" w:color="auto"/>
            </w:tcBorders>
            <w:shd w:val="clear" w:color="auto" w:fill="FFFFFF"/>
            <w:vAlign w:val="center"/>
          </w:tcPr>
          <w:p w14:paraId="1C8CEC4A"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Summary Hospital-Level Mortality Indicator</w:t>
            </w:r>
          </w:p>
        </w:tc>
        <w:tc>
          <w:tcPr>
            <w:tcW w:w="2552" w:type="dxa"/>
            <w:vMerge/>
            <w:tcBorders>
              <w:left w:val="single" w:sz="4" w:space="0" w:color="auto"/>
              <w:bottom w:val="single" w:sz="4" w:space="0" w:color="auto"/>
              <w:right w:val="single" w:sz="4" w:space="0" w:color="auto"/>
            </w:tcBorders>
            <w:shd w:val="clear" w:color="auto" w:fill="FFFFFF"/>
            <w:vAlign w:val="center"/>
          </w:tcPr>
          <w:p w14:paraId="6551975E"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bottom w:val="single" w:sz="4" w:space="0" w:color="auto"/>
              <w:right w:val="single" w:sz="4" w:space="0" w:color="auto"/>
            </w:tcBorders>
            <w:shd w:val="clear" w:color="auto" w:fill="FFFFFF"/>
            <w:vAlign w:val="center"/>
          </w:tcPr>
          <w:p w14:paraId="0628CBBE"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bottom w:val="single" w:sz="4" w:space="0" w:color="auto"/>
              <w:right w:val="single" w:sz="4" w:space="0" w:color="auto"/>
            </w:tcBorders>
            <w:shd w:val="clear" w:color="auto" w:fill="FFFFFF"/>
            <w:vAlign w:val="center"/>
          </w:tcPr>
          <w:p w14:paraId="661CDC49" w14:textId="77777777" w:rsidR="006A5447" w:rsidRPr="00A161AC" w:rsidRDefault="006A5447" w:rsidP="006A5447">
            <w:pPr>
              <w:spacing w:after="0" w:line="0" w:lineRule="atLeast"/>
              <w:jc w:val="center"/>
              <w:textboxTightWrap w:val="none"/>
              <w:rPr>
                <w:rFonts w:cs="Arial"/>
                <w:color w:val="auto"/>
                <w:sz w:val="22"/>
                <w:szCs w:val="22"/>
                <w:lang w:bidi="en-US"/>
              </w:rPr>
            </w:pPr>
          </w:p>
        </w:tc>
      </w:tr>
      <w:tr w:rsidR="006A5447" w:rsidRPr="00A161AC" w14:paraId="7B6FAE1F" w14:textId="77777777" w:rsidTr="006A5447">
        <w:tc>
          <w:tcPr>
            <w:tcW w:w="1554" w:type="dxa"/>
            <w:vMerge/>
            <w:tcBorders>
              <w:left w:val="single" w:sz="4" w:space="0" w:color="auto"/>
              <w:right w:val="single" w:sz="4" w:space="0" w:color="auto"/>
            </w:tcBorders>
            <w:vAlign w:val="center"/>
          </w:tcPr>
          <w:p w14:paraId="1F10FC92"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val="restart"/>
            <w:tcBorders>
              <w:left w:val="single" w:sz="4" w:space="0" w:color="auto"/>
              <w:right w:val="single" w:sz="4" w:space="0" w:color="auto"/>
            </w:tcBorders>
            <w:vAlign w:val="center"/>
          </w:tcPr>
          <w:p w14:paraId="69B63C16" w14:textId="77777777" w:rsidR="006A5447" w:rsidRPr="00A161AC" w:rsidRDefault="006A5447" w:rsidP="006A5447">
            <w:pPr>
              <w:spacing w:after="200" w:line="276" w:lineRule="auto"/>
              <w:jc w:val="center"/>
              <w:textboxTightWrap w:val="none"/>
              <w:rPr>
                <w:color w:val="auto"/>
                <w:sz w:val="22"/>
                <w:szCs w:val="22"/>
                <w:lang w:bidi="en-US"/>
              </w:rPr>
            </w:pPr>
            <w:r w:rsidRPr="00A161AC">
              <w:rPr>
                <w:color w:val="auto"/>
                <w:sz w:val="22"/>
                <w:szCs w:val="22"/>
                <w:lang w:bidi="en-US"/>
              </w:rPr>
              <w:t>(13) Prevention</w:t>
            </w:r>
          </w:p>
        </w:tc>
        <w:tc>
          <w:tcPr>
            <w:tcW w:w="2551" w:type="dxa"/>
            <w:tcBorders>
              <w:left w:val="single" w:sz="4" w:space="0" w:color="auto"/>
              <w:bottom w:val="single" w:sz="4" w:space="0" w:color="auto"/>
              <w:right w:val="single" w:sz="4" w:space="0" w:color="auto"/>
            </w:tcBorders>
            <w:shd w:val="clear" w:color="auto" w:fill="FFFFFF"/>
            <w:vAlign w:val="center"/>
          </w:tcPr>
          <w:p w14:paraId="0F2C0A09"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Childhood immunisation coverage</w:t>
            </w:r>
          </w:p>
        </w:tc>
        <w:tc>
          <w:tcPr>
            <w:tcW w:w="2552" w:type="dxa"/>
            <w:vMerge w:val="restart"/>
            <w:tcBorders>
              <w:top w:val="single" w:sz="4" w:space="0" w:color="auto"/>
              <w:left w:val="single" w:sz="4" w:space="0" w:color="auto"/>
              <w:right w:val="single" w:sz="4" w:space="0" w:color="auto"/>
            </w:tcBorders>
            <w:shd w:val="clear" w:color="auto" w:fill="FFFFFF"/>
            <w:vAlign w:val="center"/>
          </w:tcPr>
          <w:p w14:paraId="2789C048"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HCW proportion of Covid-19 and influenza vaccinations</w:t>
            </w:r>
          </w:p>
        </w:tc>
        <w:tc>
          <w:tcPr>
            <w:tcW w:w="2552" w:type="dxa"/>
            <w:vMerge w:val="restart"/>
            <w:tcBorders>
              <w:left w:val="single" w:sz="4" w:space="0" w:color="auto"/>
              <w:right w:val="single" w:sz="4" w:space="0" w:color="auto"/>
            </w:tcBorders>
            <w:shd w:val="clear" w:color="auto" w:fill="FFFFFF"/>
            <w:vAlign w:val="center"/>
          </w:tcPr>
          <w:p w14:paraId="6AA248CB"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Proprtion coverage of childhood immunisations</w:t>
            </w:r>
          </w:p>
        </w:tc>
        <w:tc>
          <w:tcPr>
            <w:tcW w:w="2552" w:type="dxa"/>
            <w:vMerge w:val="restart"/>
            <w:tcBorders>
              <w:left w:val="single" w:sz="4" w:space="0" w:color="auto"/>
              <w:right w:val="single" w:sz="4" w:space="0" w:color="auto"/>
            </w:tcBorders>
            <w:shd w:val="clear" w:color="auto" w:fill="FFFFFF"/>
            <w:vAlign w:val="center"/>
          </w:tcPr>
          <w:p w14:paraId="6ECF8E40"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Proportion of patients successfully referred to cessation services</w:t>
            </w:r>
          </w:p>
        </w:tc>
        <w:tc>
          <w:tcPr>
            <w:tcW w:w="2552" w:type="dxa"/>
            <w:vMerge w:val="restart"/>
            <w:tcBorders>
              <w:left w:val="single" w:sz="4" w:space="0" w:color="auto"/>
              <w:right w:val="single" w:sz="4" w:space="0" w:color="auto"/>
            </w:tcBorders>
            <w:shd w:val="clear" w:color="auto" w:fill="FFFFFF"/>
            <w:vAlign w:val="center"/>
          </w:tcPr>
          <w:p w14:paraId="2B912CC8"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To be developed in year 1</w:t>
            </w:r>
          </w:p>
        </w:tc>
      </w:tr>
      <w:tr w:rsidR="006A5447" w:rsidRPr="00A161AC" w14:paraId="6A2381F1" w14:textId="77777777" w:rsidTr="006A5447">
        <w:tc>
          <w:tcPr>
            <w:tcW w:w="1554" w:type="dxa"/>
            <w:vMerge/>
            <w:tcBorders>
              <w:left w:val="single" w:sz="4" w:space="0" w:color="auto"/>
              <w:right w:val="single" w:sz="4" w:space="0" w:color="auto"/>
            </w:tcBorders>
            <w:vAlign w:val="center"/>
          </w:tcPr>
          <w:p w14:paraId="0677E7AE"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tcBorders>
              <w:left w:val="single" w:sz="4" w:space="0" w:color="auto"/>
              <w:right w:val="single" w:sz="4" w:space="0" w:color="auto"/>
            </w:tcBorders>
            <w:vAlign w:val="center"/>
          </w:tcPr>
          <w:p w14:paraId="40FFC0F9" w14:textId="77777777" w:rsidR="006A5447" w:rsidRPr="00A161AC" w:rsidRDefault="006A5447" w:rsidP="006A5447">
            <w:pPr>
              <w:spacing w:after="200" w:line="276" w:lineRule="auto"/>
              <w:jc w:val="center"/>
              <w:textboxTightWrap w:val="none"/>
              <w:rPr>
                <w:color w:val="auto"/>
                <w:sz w:val="22"/>
                <w:szCs w:val="22"/>
                <w:lang w:bidi="en-US"/>
              </w:rPr>
            </w:pPr>
          </w:p>
        </w:tc>
        <w:tc>
          <w:tcPr>
            <w:tcW w:w="2551" w:type="dxa"/>
            <w:tcBorders>
              <w:left w:val="single" w:sz="4" w:space="0" w:color="auto"/>
              <w:bottom w:val="single" w:sz="4" w:space="0" w:color="auto"/>
              <w:right w:val="single" w:sz="4" w:space="0" w:color="auto"/>
            </w:tcBorders>
            <w:shd w:val="clear" w:color="auto" w:fill="FFFFFF"/>
            <w:vAlign w:val="center"/>
          </w:tcPr>
          <w:p w14:paraId="2E9AE43A"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Screening performance</w:t>
            </w:r>
          </w:p>
        </w:tc>
        <w:tc>
          <w:tcPr>
            <w:tcW w:w="2552" w:type="dxa"/>
            <w:vMerge/>
            <w:tcBorders>
              <w:left w:val="single" w:sz="4" w:space="0" w:color="auto"/>
              <w:right w:val="single" w:sz="4" w:space="0" w:color="auto"/>
            </w:tcBorders>
            <w:shd w:val="clear" w:color="auto" w:fill="FFFFFF"/>
            <w:vAlign w:val="center"/>
          </w:tcPr>
          <w:p w14:paraId="073261C3"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32DD1D67"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67BDCEA9"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77AE05DA" w14:textId="77777777" w:rsidR="006A5447" w:rsidRPr="00A161AC" w:rsidRDefault="006A5447" w:rsidP="006A5447">
            <w:pPr>
              <w:spacing w:after="0" w:line="0" w:lineRule="atLeast"/>
              <w:jc w:val="center"/>
              <w:textboxTightWrap w:val="none"/>
              <w:rPr>
                <w:rFonts w:cs="Arial"/>
                <w:color w:val="auto"/>
                <w:sz w:val="22"/>
                <w:szCs w:val="22"/>
                <w:lang w:bidi="en-US"/>
              </w:rPr>
            </w:pPr>
          </w:p>
        </w:tc>
      </w:tr>
      <w:tr w:rsidR="006A5447" w:rsidRPr="00A161AC" w14:paraId="0EB22A8A" w14:textId="77777777" w:rsidTr="006A5447">
        <w:tc>
          <w:tcPr>
            <w:tcW w:w="1554" w:type="dxa"/>
            <w:vMerge/>
            <w:tcBorders>
              <w:left w:val="single" w:sz="4" w:space="0" w:color="auto"/>
              <w:right w:val="single" w:sz="4" w:space="0" w:color="auto"/>
            </w:tcBorders>
            <w:vAlign w:val="center"/>
          </w:tcPr>
          <w:p w14:paraId="6F3CDD3B"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tcBorders>
              <w:left w:val="single" w:sz="4" w:space="0" w:color="auto"/>
              <w:right w:val="single" w:sz="4" w:space="0" w:color="auto"/>
            </w:tcBorders>
            <w:vAlign w:val="center"/>
          </w:tcPr>
          <w:p w14:paraId="0D0002BE" w14:textId="77777777" w:rsidR="006A5447" w:rsidRPr="00A161AC" w:rsidRDefault="006A5447" w:rsidP="006A5447">
            <w:pPr>
              <w:spacing w:after="200" w:line="276" w:lineRule="auto"/>
              <w:jc w:val="center"/>
              <w:textboxTightWrap w:val="none"/>
              <w:rPr>
                <w:color w:val="auto"/>
                <w:sz w:val="22"/>
                <w:szCs w:val="22"/>
                <w:lang w:bidi="en-US"/>
              </w:rPr>
            </w:pPr>
          </w:p>
        </w:tc>
        <w:tc>
          <w:tcPr>
            <w:tcW w:w="2551" w:type="dxa"/>
            <w:tcBorders>
              <w:left w:val="single" w:sz="4" w:space="0" w:color="auto"/>
              <w:bottom w:val="single" w:sz="4" w:space="0" w:color="auto"/>
              <w:right w:val="single" w:sz="4" w:space="0" w:color="auto"/>
            </w:tcBorders>
            <w:shd w:val="clear" w:color="auto" w:fill="FFFFFF"/>
            <w:vAlign w:val="center"/>
          </w:tcPr>
          <w:p w14:paraId="5475F27D"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Diabetes care process compliance</w:t>
            </w:r>
          </w:p>
        </w:tc>
        <w:tc>
          <w:tcPr>
            <w:tcW w:w="2552" w:type="dxa"/>
            <w:vMerge/>
            <w:tcBorders>
              <w:left w:val="single" w:sz="4" w:space="0" w:color="auto"/>
              <w:right w:val="single" w:sz="4" w:space="0" w:color="auto"/>
            </w:tcBorders>
            <w:shd w:val="clear" w:color="auto" w:fill="FFFFFF"/>
            <w:vAlign w:val="center"/>
          </w:tcPr>
          <w:p w14:paraId="4BE4797B"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171535E2"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23C0DC8B"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38D9983D" w14:textId="77777777" w:rsidR="006A5447" w:rsidRPr="00A161AC" w:rsidRDefault="006A5447" w:rsidP="006A5447">
            <w:pPr>
              <w:spacing w:after="0" w:line="0" w:lineRule="atLeast"/>
              <w:jc w:val="center"/>
              <w:textboxTightWrap w:val="none"/>
              <w:rPr>
                <w:rFonts w:cs="Arial"/>
                <w:color w:val="auto"/>
                <w:sz w:val="22"/>
                <w:szCs w:val="22"/>
                <w:lang w:bidi="en-US"/>
              </w:rPr>
            </w:pPr>
          </w:p>
        </w:tc>
      </w:tr>
      <w:tr w:rsidR="006A5447" w:rsidRPr="00A161AC" w14:paraId="4029635B" w14:textId="77777777" w:rsidTr="006A5447">
        <w:tc>
          <w:tcPr>
            <w:tcW w:w="1554" w:type="dxa"/>
            <w:vMerge/>
            <w:tcBorders>
              <w:left w:val="single" w:sz="4" w:space="0" w:color="auto"/>
              <w:right w:val="single" w:sz="4" w:space="0" w:color="auto"/>
            </w:tcBorders>
            <w:vAlign w:val="center"/>
          </w:tcPr>
          <w:p w14:paraId="6416A375"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tcBorders>
              <w:left w:val="single" w:sz="4" w:space="0" w:color="auto"/>
              <w:right w:val="single" w:sz="4" w:space="0" w:color="auto"/>
            </w:tcBorders>
            <w:vAlign w:val="center"/>
          </w:tcPr>
          <w:p w14:paraId="5389A99A" w14:textId="77777777" w:rsidR="006A5447" w:rsidRPr="00A161AC" w:rsidRDefault="006A5447" w:rsidP="006A5447">
            <w:pPr>
              <w:spacing w:after="200" w:line="276" w:lineRule="auto"/>
              <w:jc w:val="center"/>
              <w:textboxTightWrap w:val="none"/>
              <w:rPr>
                <w:color w:val="auto"/>
                <w:sz w:val="22"/>
                <w:szCs w:val="22"/>
                <w:lang w:bidi="en-US"/>
              </w:rPr>
            </w:pPr>
          </w:p>
        </w:tc>
        <w:tc>
          <w:tcPr>
            <w:tcW w:w="2551" w:type="dxa"/>
            <w:tcBorders>
              <w:left w:val="single" w:sz="4" w:space="0" w:color="auto"/>
              <w:bottom w:val="single" w:sz="4" w:space="0" w:color="auto"/>
              <w:right w:val="single" w:sz="4" w:space="0" w:color="auto"/>
            </w:tcBorders>
            <w:shd w:val="clear" w:color="auto" w:fill="FFFFFF"/>
            <w:vAlign w:val="center"/>
          </w:tcPr>
          <w:p w14:paraId="633C5A93"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 of hypertension patients treated to target</w:t>
            </w:r>
          </w:p>
        </w:tc>
        <w:tc>
          <w:tcPr>
            <w:tcW w:w="2552" w:type="dxa"/>
            <w:vMerge/>
            <w:tcBorders>
              <w:left w:val="single" w:sz="4" w:space="0" w:color="auto"/>
              <w:right w:val="single" w:sz="4" w:space="0" w:color="auto"/>
            </w:tcBorders>
            <w:shd w:val="clear" w:color="auto" w:fill="FFFFFF"/>
            <w:vAlign w:val="center"/>
          </w:tcPr>
          <w:p w14:paraId="1D6BAD3E"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46E1F652"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65B3769D"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30DA422C" w14:textId="77777777" w:rsidR="006A5447" w:rsidRPr="00A161AC" w:rsidRDefault="006A5447" w:rsidP="006A5447">
            <w:pPr>
              <w:spacing w:after="0" w:line="0" w:lineRule="atLeast"/>
              <w:jc w:val="center"/>
              <w:textboxTightWrap w:val="none"/>
              <w:rPr>
                <w:rFonts w:cs="Arial"/>
                <w:color w:val="auto"/>
                <w:sz w:val="22"/>
                <w:szCs w:val="22"/>
                <w:lang w:bidi="en-US"/>
              </w:rPr>
            </w:pPr>
          </w:p>
        </w:tc>
      </w:tr>
      <w:tr w:rsidR="006A5447" w:rsidRPr="00A161AC" w14:paraId="71B196DB" w14:textId="77777777" w:rsidTr="006A5447">
        <w:tc>
          <w:tcPr>
            <w:tcW w:w="1554" w:type="dxa"/>
            <w:vMerge/>
            <w:tcBorders>
              <w:left w:val="single" w:sz="4" w:space="0" w:color="auto"/>
              <w:right w:val="single" w:sz="4" w:space="0" w:color="auto"/>
            </w:tcBorders>
            <w:vAlign w:val="center"/>
          </w:tcPr>
          <w:p w14:paraId="0ED57DF1"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tcBorders>
              <w:left w:val="single" w:sz="4" w:space="0" w:color="auto"/>
              <w:right w:val="single" w:sz="4" w:space="0" w:color="auto"/>
            </w:tcBorders>
            <w:vAlign w:val="center"/>
          </w:tcPr>
          <w:p w14:paraId="2F4D3EE6" w14:textId="77777777" w:rsidR="006A5447" w:rsidRPr="00A161AC" w:rsidRDefault="006A5447" w:rsidP="006A5447">
            <w:pPr>
              <w:spacing w:after="200" w:line="276" w:lineRule="auto"/>
              <w:jc w:val="center"/>
              <w:textboxTightWrap w:val="none"/>
              <w:rPr>
                <w:color w:val="auto"/>
                <w:sz w:val="22"/>
                <w:szCs w:val="22"/>
                <w:lang w:bidi="en-US"/>
              </w:rPr>
            </w:pPr>
          </w:p>
        </w:tc>
        <w:tc>
          <w:tcPr>
            <w:tcW w:w="2551" w:type="dxa"/>
            <w:tcBorders>
              <w:left w:val="single" w:sz="4" w:space="0" w:color="auto"/>
              <w:bottom w:val="single" w:sz="4" w:space="0" w:color="auto"/>
              <w:right w:val="single" w:sz="4" w:space="0" w:color="auto"/>
            </w:tcBorders>
            <w:shd w:val="clear" w:color="auto" w:fill="FFFFFF"/>
            <w:vAlign w:val="center"/>
          </w:tcPr>
          <w:p w14:paraId="4172C7CF"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Proportion of people with CVD treated for cardiac high-risk conditions</w:t>
            </w:r>
          </w:p>
        </w:tc>
        <w:tc>
          <w:tcPr>
            <w:tcW w:w="2552" w:type="dxa"/>
            <w:vMerge/>
            <w:tcBorders>
              <w:left w:val="single" w:sz="4" w:space="0" w:color="auto"/>
              <w:right w:val="single" w:sz="4" w:space="0" w:color="auto"/>
            </w:tcBorders>
            <w:shd w:val="clear" w:color="auto" w:fill="FFFFFF"/>
            <w:vAlign w:val="center"/>
          </w:tcPr>
          <w:p w14:paraId="6B682A43"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162A32EB"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6BF02E78"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7833AE45" w14:textId="77777777" w:rsidR="006A5447" w:rsidRPr="00A161AC" w:rsidRDefault="006A5447" w:rsidP="006A5447">
            <w:pPr>
              <w:spacing w:after="0" w:line="0" w:lineRule="atLeast"/>
              <w:jc w:val="center"/>
              <w:textboxTightWrap w:val="none"/>
              <w:rPr>
                <w:rFonts w:cs="Arial"/>
                <w:color w:val="auto"/>
                <w:sz w:val="22"/>
                <w:szCs w:val="22"/>
                <w:lang w:bidi="en-US"/>
              </w:rPr>
            </w:pPr>
          </w:p>
        </w:tc>
      </w:tr>
      <w:tr w:rsidR="006A5447" w:rsidRPr="00A161AC" w14:paraId="2A7B2805" w14:textId="77777777" w:rsidTr="006A5447">
        <w:trPr>
          <w:trHeight w:val="459"/>
        </w:trPr>
        <w:tc>
          <w:tcPr>
            <w:tcW w:w="1554" w:type="dxa"/>
            <w:vMerge/>
            <w:tcBorders>
              <w:left w:val="single" w:sz="4" w:space="0" w:color="auto"/>
              <w:right w:val="single" w:sz="4" w:space="0" w:color="auto"/>
            </w:tcBorders>
            <w:vAlign w:val="center"/>
          </w:tcPr>
          <w:p w14:paraId="44F55142"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tcBorders>
              <w:left w:val="single" w:sz="4" w:space="0" w:color="auto"/>
              <w:right w:val="single" w:sz="4" w:space="0" w:color="auto"/>
            </w:tcBorders>
            <w:vAlign w:val="center"/>
          </w:tcPr>
          <w:p w14:paraId="123B3B01" w14:textId="77777777" w:rsidR="006A5447" w:rsidRPr="00A161AC" w:rsidRDefault="006A5447" w:rsidP="006A5447">
            <w:pPr>
              <w:spacing w:after="200" w:line="276" w:lineRule="auto"/>
              <w:jc w:val="center"/>
              <w:textboxTightWrap w:val="none"/>
              <w:rPr>
                <w:color w:val="auto"/>
                <w:sz w:val="22"/>
                <w:szCs w:val="22"/>
                <w:lang w:bidi="en-US"/>
              </w:rPr>
            </w:pPr>
          </w:p>
        </w:tc>
        <w:tc>
          <w:tcPr>
            <w:tcW w:w="2551" w:type="dxa"/>
            <w:tcBorders>
              <w:left w:val="single" w:sz="4" w:space="0" w:color="auto"/>
              <w:right w:val="single" w:sz="4" w:space="0" w:color="auto"/>
            </w:tcBorders>
            <w:shd w:val="clear" w:color="auto" w:fill="FFFFFF"/>
            <w:vAlign w:val="center"/>
          </w:tcPr>
          <w:p w14:paraId="055349AB"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Proportion of people taking up lifestyle/behavioural programmes to reduce obesity</w:t>
            </w:r>
          </w:p>
        </w:tc>
        <w:tc>
          <w:tcPr>
            <w:tcW w:w="2552" w:type="dxa"/>
            <w:vMerge/>
            <w:tcBorders>
              <w:left w:val="single" w:sz="4" w:space="0" w:color="auto"/>
              <w:right w:val="single" w:sz="4" w:space="0" w:color="auto"/>
            </w:tcBorders>
            <w:shd w:val="clear" w:color="auto" w:fill="FFFFFF"/>
            <w:vAlign w:val="center"/>
          </w:tcPr>
          <w:p w14:paraId="673DD05A"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496F057B"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43321208"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vAlign w:val="center"/>
          </w:tcPr>
          <w:p w14:paraId="72EA8848" w14:textId="77777777" w:rsidR="006A5447" w:rsidRPr="00A161AC" w:rsidRDefault="006A5447" w:rsidP="006A5447">
            <w:pPr>
              <w:spacing w:after="0" w:line="0" w:lineRule="atLeast"/>
              <w:jc w:val="center"/>
              <w:textboxTightWrap w:val="none"/>
              <w:rPr>
                <w:rFonts w:cs="Arial"/>
                <w:color w:val="auto"/>
                <w:sz w:val="22"/>
                <w:szCs w:val="22"/>
                <w:lang w:bidi="en-US"/>
              </w:rPr>
            </w:pPr>
          </w:p>
        </w:tc>
      </w:tr>
      <w:tr w:rsidR="006A5447" w:rsidRPr="00A161AC" w14:paraId="66FADD1B" w14:textId="77777777" w:rsidTr="006A5447">
        <w:tc>
          <w:tcPr>
            <w:tcW w:w="1554" w:type="dxa"/>
            <w:vMerge/>
            <w:tcBorders>
              <w:left w:val="single" w:sz="4" w:space="0" w:color="auto"/>
              <w:right w:val="single" w:sz="4" w:space="0" w:color="auto"/>
            </w:tcBorders>
            <w:vAlign w:val="center"/>
          </w:tcPr>
          <w:p w14:paraId="51BB1704"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val="restart"/>
            <w:tcBorders>
              <w:left w:val="single" w:sz="4" w:space="0" w:color="auto"/>
              <w:right w:val="single" w:sz="4" w:space="0" w:color="auto"/>
            </w:tcBorders>
            <w:vAlign w:val="center"/>
          </w:tcPr>
          <w:p w14:paraId="116ECE12" w14:textId="77777777" w:rsidR="006A5447" w:rsidRPr="00A161AC" w:rsidRDefault="006A5447" w:rsidP="006A5447">
            <w:pPr>
              <w:spacing w:after="200" w:line="276" w:lineRule="auto"/>
              <w:jc w:val="center"/>
              <w:textboxTightWrap w:val="none"/>
              <w:rPr>
                <w:color w:val="auto"/>
                <w:sz w:val="22"/>
                <w:szCs w:val="22"/>
                <w:lang w:bidi="en-US"/>
              </w:rPr>
            </w:pPr>
            <w:r w:rsidRPr="00A161AC">
              <w:rPr>
                <w:color w:val="auto"/>
                <w:sz w:val="22"/>
                <w:szCs w:val="22"/>
                <w:lang w:bidi="en-US"/>
              </w:rPr>
              <w:t xml:space="preserve">(14) Improving quality </w:t>
            </w:r>
          </w:p>
        </w:tc>
        <w:tc>
          <w:tcPr>
            <w:tcW w:w="2551" w:type="dxa"/>
            <w:tcBorders>
              <w:left w:val="single" w:sz="4" w:space="0" w:color="auto"/>
              <w:bottom w:val="single" w:sz="4" w:space="0" w:color="auto"/>
              <w:right w:val="single" w:sz="4" w:space="0" w:color="auto"/>
            </w:tcBorders>
            <w:shd w:val="clear" w:color="auto" w:fill="FFFFFF"/>
            <w:vAlign w:val="center"/>
          </w:tcPr>
          <w:p w14:paraId="62E4454E"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NHS staff survey safety culture sub-score</w:t>
            </w:r>
          </w:p>
        </w:tc>
        <w:tc>
          <w:tcPr>
            <w:tcW w:w="2552" w:type="dxa"/>
            <w:tcBorders>
              <w:left w:val="single" w:sz="4" w:space="0" w:color="auto"/>
              <w:bottom w:val="single" w:sz="4" w:space="0" w:color="auto"/>
              <w:right w:val="single" w:sz="4" w:space="0" w:color="auto"/>
            </w:tcBorders>
            <w:shd w:val="clear" w:color="auto" w:fill="FFFFFF"/>
          </w:tcPr>
          <w:p w14:paraId="6A43A716"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color w:val="auto"/>
                <w:sz w:val="22"/>
                <w:szCs w:val="22"/>
                <w:lang w:bidi="en-US"/>
              </w:rPr>
              <w:t>NHS staff survey safety culture sub-score</w:t>
            </w:r>
          </w:p>
        </w:tc>
        <w:tc>
          <w:tcPr>
            <w:tcW w:w="2552" w:type="dxa"/>
            <w:tcBorders>
              <w:left w:val="single" w:sz="4" w:space="0" w:color="auto"/>
              <w:bottom w:val="single" w:sz="4" w:space="0" w:color="auto"/>
              <w:right w:val="single" w:sz="4" w:space="0" w:color="auto"/>
            </w:tcBorders>
            <w:shd w:val="clear" w:color="auto" w:fill="FFFFFF"/>
          </w:tcPr>
          <w:p w14:paraId="406DEA75"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color w:val="auto"/>
                <w:sz w:val="22"/>
                <w:szCs w:val="22"/>
                <w:lang w:bidi="en-US"/>
              </w:rPr>
              <w:t>NHS staff survey safety culture sub-score</w:t>
            </w:r>
          </w:p>
        </w:tc>
        <w:tc>
          <w:tcPr>
            <w:tcW w:w="2552" w:type="dxa"/>
            <w:tcBorders>
              <w:left w:val="single" w:sz="4" w:space="0" w:color="auto"/>
              <w:bottom w:val="single" w:sz="4" w:space="0" w:color="auto"/>
              <w:right w:val="single" w:sz="4" w:space="0" w:color="auto"/>
            </w:tcBorders>
            <w:shd w:val="clear" w:color="auto" w:fill="FFFFFF"/>
          </w:tcPr>
          <w:p w14:paraId="53C860D2"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color w:val="auto"/>
                <w:sz w:val="22"/>
                <w:szCs w:val="22"/>
                <w:lang w:bidi="en-US"/>
              </w:rPr>
              <w:t>NHS staff survey safety culture sub-score</w:t>
            </w:r>
          </w:p>
        </w:tc>
        <w:tc>
          <w:tcPr>
            <w:tcW w:w="2552" w:type="dxa"/>
            <w:tcBorders>
              <w:left w:val="single" w:sz="4" w:space="0" w:color="auto"/>
              <w:bottom w:val="single" w:sz="4" w:space="0" w:color="auto"/>
              <w:right w:val="single" w:sz="4" w:space="0" w:color="auto"/>
            </w:tcBorders>
            <w:shd w:val="clear" w:color="auto" w:fill="FFFFFF"/>
          </w:tcPr>
          <w:p w14:paraId="49373BB8"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color w:val="auto"/>
                <w:sz w:val="22"/>
                <w:szCs w:val="22"/>
                <w:lang w:bidi="en-US"/>
              </w:rPr>
              <w:t>NHS staff survey safety culture sub-score</w:t>
            </w:r>
          </w:p>
        </w:tc>
      </w:tr>
      <w:tr w:rsidR="006A5447" w:rsidRPr="00A161AC" w14:paraId="3AE6A3A4" w14:textId="77777777" w:rsidTr="006A5447">
        <w:tc>
          <w:tcPr>
            <w:tcW w:w="1554" w:type="dxa"/>
            <w:vMerge/>
            <w:tcBorders>
              <w:left w:val="single" w:sz="4" w:space="0" w:color="auto"/>
              <w:right w:val="single" w:sz="4" w:space="0" w:color="auto"/>
            </w:tcBorders>
            <w:vAlign w:val="center"/>
          </w:tcPr>
          <w:p w14:paraId="410137CA"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tcBorders>
              <w:left w:val="single" w:sz="4" w:space="0" w:color="auto"/>
              <w:right w:val="single" w:sz="4" w:space="0" w:color="auto"/>
            </w:tcBorders>
            <w:vAlign w:val="center"/>
          </w:tcPr>
          <w:p w14:paraId="66C61832" w14:textId="77777777" w:rsidR="006A5447" w:rsidRPr="00A161AC" w:rsidRDefault="006A5447" w:rsidP="006A5447">
            <w:pPr>
              <w:spacing w:after="200" w:line="276" w:lineRule="auto"/>
              <w:jc w:val="center"/>
              <w:textboxTightWrap w:val="none"/>
              <w:rPr>
                <w:color w:val="auto"/>
                <w:sz w:val="22"/>
                <w:szCs w:val="22"/>
                <w:lang w:bidi="en-US"/>
              </w:rPr>
            </w:pPr>
          </w:p>
        </w:tc>
        <w:tc>
          <w:tcPr>
            <w:tcW w:w="2551" w:type="dxa"/>
            <w:tcBorders>
              <w:left w:val="single" w:sz="4" w:space="0" w:color="auto"/>
              <w:bottom w:val="single" w:sz="4" w:space="0" w:color="auto"/>
              <w:right w:val="single" w:sz="4" w:space="0" w:color="auto"/>
            </w:tcBorders>
            <w:shd w:val="clear" w:color="auto" w:fill="FFFFFF"/>
            <w:vAlign w:val="center"/>
          </w:tcPr>
          <w:p w14:paraId="589B31DF"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Complaints rate</w:t>
            </w:r>
          </w:p>
        </w:tc>
        <w:tc>
          <w:tcPr>
            <w:tcW w:w="2552" w:type="dxa"/>
            <w:tcBorders>
              <w:left w:val="single" w:sz="4" w:space="0" w:color="auto"/>
              <w:bottom w:val="single" w:sz="4" w:space="0" w:color="auto"/>
              <w:right w:val="single" w:sz="4" w:space="0" w:color="auto"/>
            </w:tcBorders>
            <w:shd w:val="clear" w:color="auto" w:fill="FFFFFF"/>
            <w:vAlign w:val="center"/>
          </w:tcPr>
          <w:p w14:paraId="54D50D94"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CQC safe rating</w:t>
            </w:r>
          </w:p>
        </w:tc>
        <w:tc>
          <w:tcPr>
            <w:tcW w:w="2552" w:type="dxa"/>
            <w:tcBorders>
              <w:left w:val="single" w:sz="4" w:space="0" w:color="auto"/>
              <w:bottom w:val="single" w:sz="4" w:space="0" w:color="auto"/>
              <w:right w:val="single" w:sz="4" w:space="0" w:color="auto"/>
            </w:tcBorders>
            <w:shd w:val="clear" w:color="auto" w:fill="FFFFFF"/>
            <w:vAlign w:val="center"/>
          </w:tcPr>
          <w:p w14:paraId="0C76D13E"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CQC safe rating</w:t>
            </w:r>
          </w:p>
        </w:tc>
        <w:tc>
          <w:tcPr>
            <w:tcW w:w="2552" w:type="dxa"/>
            <w:tcBorders>
              <w:left w:val="single" w:sz="4" w:space="0" w:color="auto"/>
              <w:bottom w:val="single" w:sz="4" w:space="0" w:color="auto"/>
              <w:right w:val="single" w:sz="4" w:space="0" w:color="auto"/>
            </w:tcBorders>
            <w:shd w:val="clear" w:color="auto" w:fill="FFFFFF"/>
            <w:vAlign w:val="center"/>
          </w:tcPr>
          <w:p w14:paraId="4545EF45"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CQC safe rating</w:t>
            </w:r>
          </w:p>
        </w:tc>
        <w:tc>
          <w:tcPr>
            <w:tcW w:w="2552" w:type="dxa"/>
            <w:tcBorders>
              <w:left w:val="single" w:sz="4" w:space="0" w:color="auto"/>
              <w:right w:val="single" w:sz="4" w:space="0" w:color="auto"/>
            </w:tcBorders>
            <w:shd w:val="clear" w:color="auto" w:fill="FFFFFF"/>
            <w:vAlign w:val="center"/>
          </w:tcPr>
          <w:p w14:paraId="26F9094D"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CQC safe rating</w:t>
            </w:r>
          </w:p>
        </w:tc>
      </w:tr>
      <w:tr w:rsidR="006A5447" w:rsidRPr="00A161AC" w14:paraId="5409A30F" w14:textId="77777777" w:rsidTr="006A5447">
        <w:tc>
          <w:tcPr>
            <w:tcW w:w="1554" w:type="dxa"/>
            <w:vMerge/>
            <w:tcBorders>
              <w:left w:val="single" w:sz="4" w:space="0" w:color="auto"/>
              <w:right w:val="single" w:sz="4" w:space="0" w:color="auto"/>
            </w:tcBorders>
            <w:vAlign w:val="center"/>
          </w:tcPr>
          <w:p w14:paraId="3D20AE29"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tcBorders>
              <w:left w:val="single" w:sz="4" w:space="0" w:color="auto"/>
              <w:right w:val="single" w:sz="4" w:space="0" w:color="auto"/>
            </w:tcBorders>
            <w:vAlign w:val="center"/>
          </w:tcPr>
          <w:p w14:paraId="29C61DBB" w14:textId="77777777" w:rsidR="006A5447" w:rsidRPr="00A161AC" w:rsidRDefault="006A5447" w:rsidP="006A5447">
            <w:pPr>
              <w:spacing w:after="200" w:line="276" w:lineRule="auto"/>
              <w:jc w:val="center"/>
              <w:textboxTightWrap w:val="none"/>
              <w:rPr>
                <w:color w:val="auto"/>
                <w:sz w:val="22"/>
                <w:szCs w:val="22"/>
                <w:lang w:bidi="en-US"/>
              </w:rPr>
            </w:pPr>
          </w:p>
        </w:tc>
        <w:tc>
          <w:tcPr>
            <w:tcW w:w="2551" w:type="dxa"/>
            <w:tcBorders>
              <w:left w:val="single" w:sz="4" w:space="0" w:color="auto"/>
              <w:bottom w:val="single" w:sz="4" w:space="0" w:color="auto"/>
              <w:right w:val="single" w:sz="4" w:space="0" w:color="auto"/>
            </w:tcBorders>
            <w:shd w:val="clear" w:color="auto" w:fill="FFFFFF"/>
            <w:vAlign w:val="center"/>
          </w:tcPr>
          <w:p w14:paraId="306F69AC"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Patient satisfaction</w:t>
            </w:r>
          </w:p>
        </w:tc>
        <w:tc>
          <w:tcPr>
            <w:tcW w:w="2552" w:type="dxa"/>
            <w:vMerge w:val="restart"/>
            <w:tcBorders>
              <w:left w:val="single" w:sz="4" w:space="0" w:color="auto"/>
              <w:right w:val="single" w:sz="4" w:space="0" w:color="auto"/>
            </w:tcBorders>
            <w:shd w:val="clear" w:color="auto" w:fill="FFFFFF"/>
            <w:vAlign w:val="center"/>
          </w:tcPr>
          <w:p w14:paraId="3D35C40D"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Inpatient satisfaction</w:t>
            </w:r>
          </w:p>
          <w:p w14:paraId="52AEF506"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NET survey</w:t>
            </w:r>
          </w:p>
        </w:tc>
        <w:tc>
          <w:tcPr>
            <w:tcW w:w="2552" w:type="dxa"/>
            <w:vMerge w:val="restart"/>
            <w:tcBorders>
              <w:left w:val="single" w:sz="4" w:space="0" w:color="auto"/>
              <w:right w:val="single" w:sz="4" w:space="0" w:color="auto"/>
            </w:tcBorders>
            <w:shd w:val="clear" w:color="auto" w:fill="FFFFFF"/>
            <w:vAlign w:val="center"/>
          </w:tcPr>
          <w:p w14:paraId="1CFAB9E7"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Inpatient satisfaction</w:t>
            </w:r>
          </w:p>
          <w:p w14:paraId="59BA9AC6"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 xml:space="preserve">NET survey </w:t>
            </w:r>
          </w:p>
        </w:tc>
        <w:tc>
          <w:tcPr>
            <w:tcW w:w="2552" w:type="dxa"/>
            <w:vMerge w:val="restart"/>
            <w:tcBorders>
              <w:left w:val="single" w:sz="4" w:space="0" w:color="auto"/>
              <w:right w:val="single" w:sz="4" w:space="0" w:color="auto"/>
            </w:tcBorders>
            <w:shd w:val="clear" w:color="auto" w:fill="FFFFFF"/>
            <w:vAlign w:val="center"/>
          </w:tcPr>
          <w:p w14:paraId="66D07F2F"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Inpatient satisfaction</w:t>
            </w:r>
          </w:p>
          <w:p w14:paraId="67AC256F"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NET survey</w:t>
            </w:r>
          </w:p>
        </w:tc>
        <w:tc>
          <w:tcPr>
            <w:tcW w:w="2552" w:type="dxa"/>
            <w:vMerge w:val="restart"/>
            <w:tcBorders>
              <w:left w:val="single" w:sz="4" w:space="0" w:color="auto"/>
              <w:right w:val="single" w:sz="4" w:space="0" w:color="auto"/>
            </w:tcBorders>
            <w:shd w:val="clear" w:color="auto" w:fill="FFFFFF"/>
            <w:vAlign w:val="center"/>
          </w:tcPr>
          <w:p w14:paraId="5224FAB9"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Inpatient satisfaction</w:t>
            </w:r>
          </w:p>
          <w:p w14:paraId="6FB37E85"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NET survey</w:t>
            </w:r>
          </w:p>
        </w:tc>
      </w:tr>
      <w:tr w:rsidR="006A5447" w:rsidRPr="00A161AC" w14:paraId="2D8B20EA" w14:textId="77777777" w:rsidTr="006A5447">
        <w:tc>
          <w:tcPr>
            <w:tcW w:w="1554" w:type="dxa"/>
            <w:vMerge/>
            <w:tcBorders>
              <w:left w:val="single" w:sz="4" w:space="0" w:color="auto"/>
              <w:right w:val="single" w:sz="4" w:space="0" w:color="auto"/>
            </w:tcBorders>
            <w:vAlign w:val="center"/>
          </w:tcPr>
          <w:p w14:paraId="10C16246"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tcBorders>
              <w:left w:val="single" w:sz="4" w:space="0" w:color="auto"/>
              <w:right w:val="single" w:sz="4" w:space="0" w:color="auto"/>
            </w:tcBorders>
            <w:vAlign w:val="center"/>
          </w:tcPr>
          <w:p w14:paraId="65E3D984" w14:textId="77777777" w:rsidR="006A5447" w:rsidRPr="00A161AC" w:rsidRDefault="006A5447" w:rsidP="006A5447">
            <w:pPr>
              <w:spacing w:after="200" w:line="276" w:lineRule="auto"/>
              <w:jc w:val="center"/>
              <w:textboxTightWrap w:val="none"/>
              <w:rPr>
                <w:color w:val="auto"/>
                <w:sz w:val="22"/>
                <w:szCs w:val="22"/>
                <w:lang w:bidi="en-US"/>
              </w:rPr>
            </w:pPr>
          </w:p>
        </w:tc>
        <w:tc>
          <w:tcPr>
            <w:tcW w:w="2551" w:type="dxa"/>
            <w:tcBorders>
              <w:left w:val="single" w:sz="4" w:space="0" w:color="auto"/>
              <w:bottom w:val="single" w:sz="4" w:space="0" w:color="auto"/>
              <w:right w:val="single" w:sz="4" w:space="0" w:color="auto"/>
            </w:tcBorders>
            <w:shd w:val="clear" w:color="auto" w:fill="FFFFFF"/>
            <w:vAlign w:val="center"/>
          </w:tcPr>
          <w:p w14:paraId="711C7EBB"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Satisfaction with education and training</w:t>
            </w:r>
          </w:p>
        </w:tc>
        <w:tc>
          <w:tcPr>
            <w:tcW w:w="2552" w:type="dxa"/>
            <w:vMerge/>
            <w:tcBorders>
              <w:left w:val="single" w:sz="4" w:space="0" w:color="auto"/>
              <w:bottom w:val="single" w:sz="4" w:space="0" w:color="auto"/>
              <w:right w:val="single" w:sz="4" w:space="0" w:color="auto"/>
            </w:tcBorders>
            <w:shd w:val="clear" w:color="auto" w:fill="FFFFFF"/>
          </w:tcPr>
          <w:p w14:paraId="6D36CDB5"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bottom w:val="single" w:sz="4" w:space="0" w:color="auto"/>
              <w:right w:val="single" w:sz="4" w:space="0" w:color="auto"/>
            </w:tcBorders>
            <w:shd w:val="clear" w:color="auto" w:fill="FFFFFF"/>
          </w:tcPr>
          <w:p w14:paraId="6A7E89AB"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bottom w:val="single" w:sz="4" w:space="0" w:color="auto"/>
              <w:right w:val="single" w:sz="4" w:space="0" w:color="auto"/>
            </w:tcBorders>
            <w:shd w:val="clear" w:color="auto" w:fill="FFFFFF"/>
          </w:tcPr>
          <w:p w14:paraId="13745B23" w14:textId="77777777" w:rsidR="006A5447" w:rsidRPr="00A161AC" w:rsidRDefault="006A5447" w:rsidP="006A5447">
            <w:pPr>
              <w:spacing w:after="0" w:line="0" w:lineRule="atLeast"/>
              <w:jc w:val="center"/>
              <w:textboxTightWrap w:val="none"/>
              <w:rPr>
                <w:rFonts w:cs="Arial"/>
                <w:color w:val="auto"/>
                <w:sz w:val="22"/>
                <w:szCs w:val="22"/>
                <w:lang w:bidi="en-US"/>
              </w:rPr>
            </w:pPr>
          </w:p>
        </w:tc>
        <w:tc>
          <w:tcPr>
            <w:tcW w:w="2552" w:type="dxa"/>
            <w:vMerge/>
            <w:tcBorders>
              <w:left w:val="single" w:sz="4" w:space="0" w:color="auto"/>
              <w:right w:val="single" w:sz="4" w:space="0" w:color="auto"/>
            </w:tcBorders>
            <w:shd w:val="clear" w:color="auto" w:fill="FFFFFF"/>
          </w:tcPr>
          <w:p w14:paraId="71D90469" w14:textId="77777777" w:rsidR="006A5447" w:rsidRPr="00A161AC" w:rsidRDefault="006A5447" w:rsidP="006A5447">
            <w:pPr>
              <w:spacing w:after="0" w:line="0" w:lineRule="atLeast"/>
              <w:jc w:val="center"/>
              <w:textboxTightWrap w:val="none"/>
              <w:rPr>
                <w:rFonts w:cs="Arial"/>
                <w:color w:val="auto"/>
                <w:sz w:val="22"/>
                <w:szCs w:val="22"/>
                <w:lang w:bidi="en-US"/>
              </w:rPr>
            </w:pPr>
          </w:p>
        </w:tc>
      </w:tr>
      <w:tr w:rsidR="006A5447" w:rsidRPr="00A161AC" w14:paraId="5042BE48" w14:textId="77777777" w:rsidTr="006A5447">
        <w:tc>
          <w:tcPr>
            <w:tcW w:w="1554" w:type="dxa"/>
            <w:tcBorders>
              <w:top w:val="single" w:sz="4" w:space="0" w:color="auto"/>
              <w:left w:val="single" w:sz="4" w:space="0" w:color="auto"/>
              <w:right w:val="single" w:sz="4" w:space="0" w:color="auto"/>
            </w:tcBorders>
            <w:vAlign w:val="center"/>
          </w:tcPr>
          <w:p w14:paraId="4D7A72B8" w14:textId="77777777" w:rsidR="006A5447" w:rsidRPr="00A161AC" w:rsidRDefault="006A5447" w:rsidP="006A5447">
            <w:pPr>
              <w:spacing w:after="200" w:line="276" w:lineRule="auto"/>
              <w:textboxTightWrap w:val="none"/>
              <w:rPr>
                <w:color w:val="auto"/>
                <w:sz w:val="22"/>
                <w:szCs w:val="22"/>
                <w:lang w:bidi="en-US"/>
              </w:rPr>
            </w:pPr>
            <w:r w:rsidRPr="00A161AC">
              <w:rPr>
                <w:color w:val="auto"/>
                <w:sz w:val="22"/>
                <w:szCs w:val="22"/>
                <w:lang w:bidi="en-US"/>
              </w:rPr>
              <w:t>(B) Tackle inequalities of access and outcome</w:t>
            </w:r>
          </w:p>
        </w:tc>
        <w:tc>
          <w:tcPr>
            <w:tcW w:w="1464" w:type="dxa"/>
            <w:tcBorders>
              <w:top w:val="single" w:sz="4" w:space="0" w:color="auto"/>
              <w:left w:val="single" w:sz="4" w:space="0" w:color="auto"/>
              <w:right w:val="single" w:sz="4" w:space="0" w:color="auto"/>
            </w:tcBorders>
            <w:vAlign w:val="center"/>
          </w:tcPr>
          <w:p w14:paraId="6D8FE225" w14:textId="77777777" w:rsidR="006A5447" w:rsidRPr="00A161AC" w:rsidRDefault="006A5447" w:rsidP="006A5447">
            <w:pPr>
              <w:spacing w:after="200" w:line="276" w:lineRule="auto"/>
              <w:jc w:val="center"/>
              <w:textboxTightWrap w:val="none"/>
              <w:rPr>
                <w:color w:val="auto"/>
                <w:sz w:val="22"/>
                <w:szCs w:val="22"/>
                <w:lang w:bidi="en-US"/>
              </w:rPr>
            </w:pPr>
            <w:r w:rsidRPr="00A161AC">
              <w:rPr>
                <w:color w:val="auto"/>
                <w:sz w:val="22"/>
                <w:szCs w:val="22"/>
                <w:lang w:bidi="en-US"/>
              </w:rPr>
              <w:t>(1) Reduce inequality</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3E39576"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Early cancer diagnosis by deprivation</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CE998A0"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MI admission rate deprivation gap</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890F3E9"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To be developed in year 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BEA1DEA"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SMI health check</w:t>
            </w:r>
          </w:p>
        </w:tc>
        <w:tc>
          <w:tcPr>
            <w:tcW w:w="2552" w:type="dxa"/>
            <w:tcBorders>
              <w:left w:val="single" w:sz="4" w:space="0" w:color="auto"/>
              <w:bottom w:val="single" w:sz="4" w:space="0" w:color="auto"/>
              <w:right w:val="single" w:sz="4" w:space="0" w:color="auto"/>
            </w:tcBorders>
            <w:shd w:val="clear" w:color="auto" w:fill="FFFFFF"/>
            <w:vAlign w:val="center"/>
          </w:tcPr>
          <w:p w14:paraId="0F8A85FC"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To be developed in year 1</w:t>
            </w:r>
          </w:p>
        </w:tc>
      </w:tr>
      <w:tr w:rsidR="006A5447" w:rsidRPr="00A161AC" w14:paraId="207EEAD0" w14:textId="77777777" w:rsidTr="006A5447">
        <w:trPr>
          <w:trHeight w:val="686"/>
        </w:trPr>
        <w:tc>
          <w:tcPr>
            <w:tcW w:w="1554" w:type="dxa"/>
            <w:vMerge w:val="restart"/>
            <w:tcBorders>
              <w:top w:val="single" w:sz="4" w:space="0" w:color="auto"/>
              <w:left w:val="single" w:sz="4" w:space="0" w:color="auto"/>
              <w:right w:val="single" w:sz="4" w:space="0" w:color="auto"/>
            </w:tcBorders>
            <w:vAlign w:val="center"/>
          </w:tcPr>
          <w:p w14:paraId="2B8AB0AA" w14:textId="77777777" w:rsidR="006A5447" w:rsidRPr="00A161AC" w:rsidRDefault="006A5447" w:rsidP="006A5447">
            <w:pPr>
              <w:spacing w:after="200" w:line="276" w:lineRule="auto"/>
              <w:textboxTightWrap w:val="none"/>
              <w:rPr>
                <w:color w:val="auto"/>
                <w:sz w:val="22"/>
                <w:szCs w:val="22"/>
                <w:lang w:bidi="en-US"/>
              </w:rPr>
            </w:pPr>
            <w:r w:rsidRPr="00A161AC">
              <w:rPr>
                <w:color w:val="auto"/>
                <w:sz w:val="22"/>
                <w:szCs w:val="22"/>
                <w:lang w:bidi="en-US"/>
              </w:rPr>
              <w:t>(C) Enhance productivity and value for money</w:t>
            </w:r>
          </w:p>
        </w:tc>
        <w:tc>
          <w:tcPr>
            <w:tcW w:w="1464" w:type="dxa"/>
            <w:vMerge w:val="restart"/>
            <w:tcBorders>
              <w:top w:val="single" w:sz="4" w:space="0" w:color="auto"/>
              <w:left w:val="single" w:sz="4" w:space="0" w:color="auto"/>
              <w:right w:val="single" w:sz="4" w:space="0" w:color="auto"/>
            </w:tcBorders>
            <w:vAlign w:val="center"/>
          </w:tcPr>
          <w:p w14:paraId="02A841CD" w14:textId="77777777" w:rsidR="006A5447" w:rsidRPr="00A161AC" w:rsidRDefault="006A5447" w:rsidP="006A5447">
            <w:pPr>
              <w:spacing w:after="200" w:line="276" w:lineRule="auto"/>
              <w:jc w:val="center"/>
              <w:textboxTightWrap w:val="none"/>
              <w:rPr>
                <w:color w:val="auto"/>
                <w:sz w:val="22"/>
                <w:szCs w:val="22"/>
                <w:lang w:bidi="en-US"/>
              </w:rPr>
            </w:pPr>
            <w:r w:rsidRPr="00A161AC">
              <w:rPr>
                <w:color w:val="auto"/>
                <w:sz w:val="22"/>
                <w:szCs w:val="22"/>
                <w:lang w:bidi="en-US"/>
              </w:rPr>
              <w:t>(1) Finance</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0BF1195C"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Commissioner stability score</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B66A7A1"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r w:rsidRPr="00A161AC">
              <w:rPr>
                <w:color w:val="auto"/>
                <w:sz w:val="22"/>
                <w:szCs w:val="22"/>
                <w:lang w:bidi="en-US"/>
              </w:rPr>
              <w:t>Provider stability score</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C39A7B7"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r w:rsidRPr="00A161AC">
              <w:rPr>
                <w:color w:val="auto"/>
                <w:sz w:val="22"/>
                <w:szCs w:val="22"/>
                <w:lang w:bidi="en-US"/>
              </w:rPr>
              <w:t>Provider stability score</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AE3F909"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r w:rsidRPr="00A161AC">
              <w:rPr>
                <w:color w:val="auto"/>
                <w:sz w:val="22"/>
                <w:szCs w:val="22"/>
                <w:lang w:bidi="en-US"/>
              </w:rPr>
              <w:t>Provider stability score</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6D5BB4B"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r w:rsidRPr="00A161AC">
              <w:rPr>
                <w:color w:val="auto"/>
                <w:sz w:val="22"/>
                <w:szCs w:val="22"/>
                <w:lang w:bidi="en-US"/>
              </w:rPr>
              <w:t>Provider stability score</w:t>
            </w:r>
          </w:p>
        </w:tc>
      </w:tr>
      <w:tr w:rsidR="006A5447" w:rsidRPr="00A161AC" w14:paraId="2E9F80DB" w14:textId="77777777" w:rsidTr="006A5447">
        <w:tc>
          <w:tcPr>
            <w:tcW w:w="1554" w:type="dxa"/>
            <w:vMerge/>
            <w:tcBorders>
              <w:left w:val="single" w:sz="4" w:space="0" w:color="auto"/>
              <w:right w:val="single" w:sz="4" w:space="0" w:color="auto"/>
            </w:tcBorders>
            <w:vAlign w:val="center"/>
          </w:tcPr>
          <w:p w14:paraId="4002FABD"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tcBorders>
              <w:left w:val="single" w:sz="4" w:space="0" w:color="auto"/>
              <w:right w:val="single" w:sz="4" w:space="0" w:color="auto"/>
            </w:tcBorders>
            <w:vAlign w:val="center"/>
          </w:tcPr>
          <w:p w14:paraId="4D5A01F2" w14:textId="77777777" w:rsidR="006A5447" w:rsidRPr="00A161AC" w:rsidRDefault="006A5447" w:rsidP="006A5447">
            <w:pPr>
              <w:spacing w:after="200" w:line="276" w:lineRule="auto"/>
              <w:jc w:val="center"/>
              <w:textboxTightWrap w:val="none"/>
              <w:rPr>
                <w:color w:val="auto"/>
                <w:sz w:val="22"/>
                <w:szCs w:val="22"/>
                <w:lang w:bidi="en-U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109803A"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Commissioner efficiency score</w:t>
            </w:r>
          </w:p>
        </w:tc>
        <w:tc>
          <w:tcPr>
            <w:tcW w:w="2552" w:type="dxa"/>
            <w:vMerge w:val="restart"/>
            <w:tcBorders>
              <w:top w:val="single" w:sz="4" w:space="0" w:color="auto"/>
              <w:left w:val="single" w:sz="4" w:space="0" w:color="auto"/>
              <w:right w:val="single" w:sz="4" w:space="0" w:color="auto"/>
            </w:tcBorders>
            <w:shd w:val="clear" w:color="auto" w:fill="FFFFFF"/>
            <w:vAlign w:val="center"/>
          </w:tcPr>
          <w:p w14:paraId="3488E658"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r w:rsidRPr="00A161AC">
              <w:rPr>
                <w:color w:val="auto"/>
                <w:sz w:val="22"/>
                <w:szCs w:val="22"/>
                <w:lang w:bidi="en-US"/>
              </w:rPr>
              <w:t>Provider efficiency score</w:t>
            </w:r>
          </w:p>
        </w:tc>
        <w:tc>
          <w:tcPr>
            <w:tcW w:w="2552" w:type="dxa"/>
            <w:vMerge w:val="restart"/>
            <w:tcBorders>
              <w:top w:val="single" w:sz="4" w:space="0" w:color="auto"/>
              <w:left w:val="single" w:sz="4" w:space="0" w:color="auto"/>
              <w:right w:val="single" w:sz="4" w:space="0" w:color="auto"/>
            </w:tcBorders>
            <w:shd w:val="clear" w:color="auto" w:fill="FFFFFF"/>
            <w:vAlign w:val="center"/>
          </w:tcPr>
          <w:p w14:paraId="02F99D6E"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r w:rsidRPr="00A161AC">
              <w:rPr>
                <w:color w:val="auto"/>
                <w:sz w:val="22"/>
                <w:szCs w:val="22"/>
                <w:lang w:bidi="en-US"/>
              </w:rPr>
              <w:t>Provider efficiency score</w:t>
            </w:r>
          </w:p>
        </w:tc>
        <w:tc>
          <w:tcPr>
            <w:tcW w:w="2552" w:type="dxa"/>
            <w:vMerge w:val="restart"/>
            <w:tcBorders>
              <w:top w:val="single" w:sz="4" w:space="0" w:color="auto"/>
              <w:left w:val="single" w:sz="4" w:space="0" w:color="auto"/>
              <w:right w:val="single" w:sz="4" w:space="0" w:color="auto"/>
            </w:tcBorders>
            <w:shd w:val="clear" w:color="auto" w:fill="FFFFFF"/>
            <w:vAlign w:val="center"/>
          </w:tcPr>
          <w:p w14:paraId="3D19482C"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r w:rsidRPr="00A161AC">
              <w:rPr>
                <w:color w:val="auto"/>
                <w:sz w:val="22"/>
                <w:szCs w:val="22"/>
                <w:lang w:bidi="en-US"/>
              </w:rPr>
              <w:t>Provider efficiency score</w:t>
            </w:r>
          </w:p>
        </w:tc>
        <w:tc>
          <w:tcPr>
            <w:tcW w:w="2552" w:type="dxa"/>
            <w:vMerge w:val="restart"/>
            <w:tcBorders>
              <w:top w:val="single" w:sz="4" w:space="0" w:color="auto"/>
              <w:left w:val="single" w:sz="4" w:space="0" w:color="auto"/>
              <w:right w:val="single" w:sz="4" w:space="0" w:color="auto"/>
            </w:tcBorders>
            <w:shd w:val="clear" w:color="auto" w:fill="FFFFFF"/>
            <w:vAlign w:val="center"/>
          </w:tcPr>
          <w:p w14:paraId="0DF29735"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r w:rsidRPr="00A161AC">
              <w:rPr>
                <w:color w:val="auto"/>
                <w:sz w:val="22"/>
                <w:szCs w:val="22"/>
                <w:lang w:bidi="en-US"/>
              </w:rPr>
              <w:t>Provider efficiency score</w:t>
            </w:r>
          </w:p>
        </w:tc>
      </w:tr>
      <w:tr w:rsidR="006A5447" w:rsidRPr="00A161AC" w14:paraId="4E9457FF" w14:textId="77777777" w:rsidTr="006A5447">
        <w:trPr>
          <w:trHeight w:val="425"/>
        </w:trPr>
        <w:tc>
          <w:tcPr>
            <w:tcW w:w="1554" w:type="dxa"/>
            <w:vMerge/>
            <w:tcBorders>
              <w:left w:val="single" w:sz="4" w:space="0" w:color="auto"/>
              <w:right w:val="single" w:sz="4" w:space="0" w:color="auto"/>
            </w:tcBorders>
            <w:vAlign w:val="center"/>
          </w:tcPr>
          <w:p w14:paraId="381F18AB"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tcBorders>
              <w:left w:val="single" w:sz="4" w:space="0" w:color="auto"/>
              <w:bottom w:val="single" w:sz="4" w:space="0" w:color="auto"/>
              <w:right w:val="single" w:sz="4" w:space="0" w:color="auto"/>
            </w:tcBorders>
            <w:vAlign w:val="center"/>
          </w:tcPr>
          <w:p w14:paraId="1C021A0F" w14:textId="77777777" w:rsidR="006A5447" w:rsidRPr="00A161AC" w:rsidRDefault="006A5447" w:rsidP="006A5447">
            <w:pPr>
              <w:spacing w:after="200" w:line="276" w:lineRule="auto"/>
              <w:jc w:val="center"/>
              <w:textboxTightWrap w:val="none"/>
              <w:rPr>
                <w:color w:val="auto"/>
                <w:sz w:val="22"/>
                <w:szCs w:val="22"/>
                <w:lang w:bidi="en-U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7AE854C" w14:textId="77777777" w:rsidR="006A5447" w:rsidRPr="00A161AC" w:rsidRDefault="006A5447" w:rsidP="006A5447">
            <w:pPr>
              <w:spacing w:after="0" w:line="0" w:lineRule="atLeast"/>
              <w:jc w:val="center"/>
              <w:textboxTightWrap w:val="none"/>
              <w:rPr>
                <w:color w:val="auto"/>
                <w:sz w:val="22"/>
                <w:szCs w:val="22"/>
                <w:lang w:bidi="en-US"/>
              </w:rPr>
            </w:pPr>
            <w:r w:rsidRPr="00A161AC">
              <w:rPr>
                <w:color w:val="auto"/>
                <w:sz w:val="22"/>
                <w:szCs w:val="22"/>
                <w:lang w:bidi="en-US"/>
              </w:rPr>
              <w:t>Compliance with the Mental Health Investment Standard</w:t>
            </w:r>
          </w:p>
        </w:tc>
        <w:tc>
          <w:tcPr>
            <w:tcW w:w="2552" w:type="dxa"/>
            <w:vMerge/>
            <w:tcBorders>
              <w:left w:val="single" w:sz="4" w:space="0" w:color="auto"/>
              <w:bottom w:val="single" w:sz="4" w:space="0" w:color="auto"/>
              <w:right w:val="single" w:sz="4" w:space="0" w:color="auto"/>
            </w:tcBorders>
            <w:shd w:val="clear" w:color="auto" w:fill="FFFFFF"/>
            <w:vAlign w:val="center"/>
          </w:tcPr>
          <w:p w14:paraId="1D3C71E7"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p>
        </w:tc>
        <w:tc>
          <w:tcPr>
            <w:tcW w:w="2552" w:type="dxa"/>
            <w:vMerge/>
            <w:tcBorders>
              <w:left w:val="single" w:sz="4" w:space="0" w:color="auto"/>
              <w:bottom w:val="single" w:sz="4" w:space="0" w:color="auto"/>
              <w:right w:val="single" w:sz="4" w:space="0" w:color="auto"/>
            </w:tcBorders>
            <w:shd w:val="clear" w:color="auto" w:fill="FFFFFF"/>
            <w:vAlign w:val="center"/>
          </w:tcPr>
          <w:p w14:paraId="32EA74B9"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p>
        </w:tc>
        <w:tc>
          <w:tcPr>
            <w:tcW w:w="2552" w:type="dxa"/>
            <w:vMerge/>
            <w:tcBorders>
              <w:left w:val="single" w:sz="4" w:space="0" w:color="auto"/>
              <w:bottom w:val="single" w:sz="4" w:space="0" w:color="auto"/>
              <w:right w:val="single" w:sz="4" w:space="0" w:color="auto"/>
            </w:tcBorders>
            <w:shd w:val="clear" w:color="auto" w:fill="FFFFFF"/>
            <w:vAlign w:val="center"/>
          </w:tcPr>
          <w:p w14:paraId="678CB3D2"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p>
        </w:tc>
        <w:tc>
          <w:tcPr>
            <w:tcW w:w="2552" w:type="dxa"/>
            <w:vMerge/>
            <w:tcBorders>
              <w:left w:val="single" w:sz="4" w:space="0" w:color="auto"/>
              <w:bottom w:val="single" w:sz="4" w:space="0" w:color="auto"/>
              <w:right w:val="single" w:sz="4" w:space="0" w:color="auto"/>
            </w:tcBorders>
            <w:shd w:val="clear" w:color="auto" w:fill="FFFFFF"/>
            <w:vAlign w:val="center"/>
          </w:tcPr>
          <w:p w14:paraId="1BDB7E98"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p>
        </w:tc>
      </w:tr>
      <w:tr w:rsidR="006A5447" w:rsidRPr="00A161AC" w14:paraId="149ACF7F" w14:textId="77777777" w:rsidTr="006A5447">
        <w:trPr>
          <w:trHeight w:val="425"/>
        </w:trPr>
        <w:tc>
          <w:tcPr>
            <w:tcW w:w="1554" w:type="dxa"/>
            <w:vMerge/>
            <w:tcBorders>
              <w:left w:val="single" w:sz="4" w:space="0" w:color="auto"/>
              <w:right w:val="single" w:sz="4" w:space="0" w:color="auto"/>
            </w:tcBorders>
            <w:vAlign w:val="center"/>
          </w:tcPr>
          <w:p w14:paraId="2C00B61E"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val="restart"/>
            <w:tcBorders>
              <w:left w:val="single" w:sz="4" w:space="0" w:color="auto"/>
              <w:right w:val="single" w:sz="4" w:space="0" w:color="auto"/>
            </w:tcBorders>
            <w:vAlign w:val="center"/>
          </w:tcPr>
          <w:p w14:paraId="325766A1" w14:textId="77777777" w:rsidR="006A5447" w:rsidRPr="00A161AC" w:rsidRDefault="006A5447" w:rsidP="006A5447">
            <w:pPr>
              <w:spacing w:after="200" w:line="276" w:lineRule="auto"/>
              <w:jc w:val="center"/>
              <w:textboxTightWrap w:val="none"/>
              <w:rPr>
                <w:color w:val="auto"/>
                <w:sz w:val="22"/>
                <w:szCs w:val="22"/>
                <w:lang w:bidi="en-US"/>
              </w:rPr>
            </w:pPr>
            <w:r w:rsidRPr="00A161AC">
              <w:rPr>
                <w:color w:val="auto"/>
                <w:sz w:val="22"/>
                <w:szCs w:val="22"/>
                <w:lang w:bidi="en-US"/>
              </w:rPr>
              <w:t>(2) Workforce</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E08FE23" w14:textId="77777777" w:rsidR="006A5447" w:rsidRPr="00A161AC" w:rsidRDefault="006A5447" w:rsidP="006A5447">
            <w:pPr>
              <w:spacing w:after="0" w:line="0" w:lineRule="atLeast"/>
              <w:jc w:val="center"/>
              <w:textboxTightWrap w:val="none"/>
              <w:rPr>
                <w:color w:val="auto"/>
                <w:sz w:val="22"/>
                <w:szCs w:val="22"/>
                <w:lang w:bidi="en-US"/>
              </w:rPr>
            </w:pPr>
            <w:r w:rsidRPr="00A161AC">
              <w:rPr>
                <w:rFonts w:cs="Arial"/>
                <w:color w:val="auto"/>
                <w:sz w:val="22"/>
                <w:szCs w:val="22"/>
                <w:lang w:bidi="en-US"/>
              </w:rPr>
              <w:t>Sickness rate</w:t>
            </w:r>
          </w:p>
        </w:tc>
        <w:tc>
          <w:tcPr>
            <w:tcW w:w="2552" w:type="dxa"/>
            <w:tcBorders>
              <w:left w:val="single" w:sz="4" w:space="0" w:color="auto"/>
              <w:bottom w:val="single" w:sz="4" w:space="0" w:color="auto"/>
              <w:right w:val="single" w:sz="4" w:space="0" w:color="auto"/>
            </w:tcBorders>
            <w:shd w:val="clear" w:color="auto" w:fill="FFFFFF"/>
            <w:vAlign w:val="center"/>
          </w:tcPr>
          <w:p w14:paraId="1A0A61C7"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Sickness rate</w:t>
            </w:r>
          </w:p>
        </w:tc>
        <w:tc>
          <w:tcPr>
            <w:tcW w:w="2552" w:type="dxa"/>
            <w:tcBorders>
              <w:left w:val="single" w:sz="4" w:space="0" w:color="auto"/>
              <w:bottom w:val="single" w:sz="4" w:space="0" w:color="auto"/>
              <w:right w:val="single" w:sz="4" w:space="0" w:color="auto"/>
            </w:tcBorders>
            <w:shd w:val="clear" w:color="auto" w:fill="FFFFFF"/>
            <w:vAlign w:val="center"/>
          </w:tcPr>
          <w:p w14:paraId="1B55D9B3"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r w:rsidRPr="00A161AC">
              <w:rPr>
                <w:rFonts w:cs="Arial"/>
                <w:color w:val="auto"/>
                <w:sz w:val="22"/>
                <w:szCs w:val="22"/>
                <w:lang w:bidi="en-US"/>
              </w:rPr>
              <w:t>Sickness rate</w:t>
            </w:r>
          </w:p>
        </w:tc>
        <w:tc>
          <w:tcPr>
            <w:tcW w:w="2552" w:type="dxa"/>
            <w:tcBorders>
              <w:left w:val="single" w:sz="4" w:space="0" w:color="auto"/>
              <w:bottom w:val="single" w:sz="4" w:space="0" w:color="auto"/>
              <w:right w:val="single" w:sz="4" w:space="0" w:color="auto"/>
            </w:tcBorders>
            <w:shd w:val="clear" w:color="auto" w:fill="FFFFFF"/>
            <w:vAlign w:val="center"/>
          </w:tcPr>
          <w:p w14:paraId="478D69AA"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r w:rsidRPr="00A161AC">
              <w:rPr>
                <w:rFonts w:cs="Arial"/>
                <w:color w:val="auto"/>
                <w:sz w:val="22"/>
                <w:szCs w:val="22"/>
                <w:lang w:bidi="en-US"/>
              </w:rPr>
              <w:t>Sickness rate</w:t>
            </w:r>
          </w:p>
        </w:tc>
        <w:tc>
          <w:tcPr>
            <w:tcW w:w="2552" w:type="dxa"/>
            <w:tcBorders>
              <w:left w:val="single" w:sz="4" w:space="0" w:color="auto"/>
              <w:bottom w:val="single" w:sz="4" w:space="0" w:color="auto"/>
              <w:right w:val="single" w:sz="4" w:space="0" w:color="auto"/>
            </w:tcBorders>
            <w:shd w:val="clear" w:color="auto" w:fill="FFFFFF"/>
            <w:vAlign w:val="center"/>
          </w:tcPr>
          <w:p w14:paraId="171B7D18"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r w:rsidRPr="00A161AC">
              <w:rPr>
                <w:rFonts w:cs="Arial"/>
                <w:color w:val="auto"/>
                <w:sz w:val="22"/>
                <w:szCs w:val="22"/>
                <w:lang w:bidi="en-US"/>
              </w:rPr>
              <w:t>Sickness rate</w:t>
            </w:r>
          </w:p>
        </w:tc>
      </w:tr>
      <w:tr w:rsidR="006A5447" w:rsidRPr="00A161AC" w14:paraId="5FF9FBE8" w14:textId="77777777" w:rsidTr="006A5447">
        <w:trPr>
          <w:trHeight w:val="425"/>
        </w:trPr>
        <w:tc>
          <w:tcPr>
            <w:tcW w:w="1554" w:type="dxa"/>
            <w:vMerge/>
            <w:tcBorders>
              <w:left w:val="single" w:sz="4" w:space="0" w:color="auto"/>
              <w:right w:val="single" w:sz="4" w:space="0" w:color="auto"/>
            </w:tcBorders>
            <w:vAlign w:val="center"/>
          </w:tcPr>
          <w:p w14:paraId="12170372" w14:textId="77777777" w:rsidR="006A5447" w:rsidRPr="00A161AC" w:rsidRDefault="006A5447" w:rsidP="006A5447">
            <w:pPr>
              <w:spacing w:after="200" w:line="276" w:lineRule="auto"/>
              <w:textboxTightWrap w:val="none"/>
              <w:rPr>
                <w:color w:val="auto"/>
                <w:sz w:val="22"/>
                <w:szCs w:val="22"/>
                <w:lang w:bidi="en-US"/>
              </w:rPr>
            </w:pPr>
          </w:p>
        </w:tc>
        <w:tc>
          <w:tcPr>
            <w:tcW w:w="1464" w:type="dxa"/>
            <w:vMerge/>
            <w:tcBorders>
              <w:left w:val="single" w:sz="4" w:space="0" w:color="auto"/>
              <w:bottom w:val="single" w:sz="4" w:space="0" w:color="auto"/>
              <w:right w:val="single" w:sz="4" w:space="0" w:color="auto"/>
            </w:tcBorders>
            <w:vAlign w:val="center"/>
          </w:tcPr>
          <w:p w14:paraId="17EBEAC2" w14:textId="77777777" w:rsidR="006A5447" w:rsidRPr="00A161AC" w:rsidRDefault="006A5447" w:rsidP="006A5447">
            <w:pPr>
              <w:spacing w:after="200" w:line="276" w:lineRule="auto"/>
              <w:jc w:val="center"/>
              <w:textboxTightWrap w:val="none"/>
              <w:rPr>
                <w:color w:val="auto"/>
                <w:sz w:val="22"/>
                <w:szCs w:val="22"/>
                <w:lang w:bidi="en-U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099CCBF" w14:textId="77777777" w:rsidR="006A5447" w:rsidRPr="00A161AC" w:rsidRDefault="006A5447" w:rsidP="006A5447">
            <w:pPr>
              <w:spacing w:after="0" w:line="0" w:lineRule="atLeast"/>
              <w:jc w:val="center"/>
              <w:textboxTightWrap w:val="none"/>
              <w:rPr>
                <w:color w:val="auto"/>
                <w:sz w:val="22"/>
                <w:szCs w:val="22"/>
                <w:lang w:bidi="en-US"/>
              </w:rPr>
            </w:pPr>
            <w:r w:rsidRPr="00A161AC">
              <w:rPr>
                <w:rFonts w:cs="Arial"/>
                <w:color w:val="auto"/>
                <w:sz w:val="22"/>
                <w:szCs w:val="22"/>
                <w:lang w:bidi="en-US"/>
              </w:rPr>
              <w:t>Leaver rate</w:t>
            </w:r>
          </w:p>
        </w:tc>
        <w:tc>
          <w:tcPr>
            <w:tcW w:w="2552" w:type="dxa"/>
            <w:tcBorders>
              <w:left w:val="single" w:sz="4" w:space="0" w:color="auto"/>
              <w:bottom w:val="single" w:sz="4" w:space="0" w:color="auto"/>
              <w:right w:val="single" w:sz="4" w:space="0" w:color="auto"/>
            </w:tcBorders>
            <w:shd w:val="clear" w:color="auto" w:fill="FFFFFF"/>
            <w:vAlign w:val="center"/>
          </w:tcPr>
          <w:p w14:paraId="3750A509"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Leaver rate</w:t>
            </w:r>
          </w:p>
        </w:tc>
        <w:tc>
          <w:tcPr>
            <w:tcW w:w="2552" w:type="dxa"/>
            <w:tcBorders>
              <w:left w:val="single" w:sz="4" w:space="0" w:color="auto"/>
              <w:bottom w:val="single" w:sz="4" w:space="0" w:color="auto"/>
              <w:right w:val="single" w:sz="4" w:space="0" w:color="auto"/>
            </w:tcBorders>
            <w:shd w:val="clear" w:color="auto" w:fill="FFFFFF"/>
            <w:vAlign w:val="center"/>
          </w:tcPr>
          <w:p w14:paraId="2BD82875"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r w:rsidRPr="00A161AC">
              <w:rPr>
                <w:rFonts w:cs="Arial"/>
                <w:color w:val="auto"/>
                <w:sz w:val="22"/>
                <w:szCs w:val="22"/>
                <w:lang w:bidi="en-US"/>
              </w:rPr>
              <w:t>Leaver rate</w:t>
            </w:r>
          </w:p>
        </w:tc>
        <w:tc>
          <w:tcPr>
            <w:tcW w:w="2552" w:type="dxa"/>
            <w:tcBorders>
              <w:left w:val="single" w:sz="4" w:space="0" w:color="auto"/>
              <w:bottom w:val="single" w:sz="4" w:space="0" w:color="auto"/>
              <w:right w:val="single" w:sz="4" w:space="0" w:color="auto"/>
            </w:tcBorders>
            <w:shd w:val="clear" w:color="auto" w:fill="FFFFFF"/>
            <w:vAlign w:val="center"/>
          </w:tcPr>
          <w:p w14:paraId="1E94D058"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r w:rsidRPr="00A161AC">
              <w:rPr>
                <w:rFonts w:cs="Arial"/>
                <w:color w:val="auto"/>
                <w:sz w:val="22"/>
                <w:szCs w:val="22"/>
                <w:lang w:bidi="en-US"/>
              </w:rPr>
              <w:t>Leaver rate</w:t>
            </w:r>
          </w:p>
        </w:tc>
        <w:tc>
          <w:tcPr>
            <w:tcW w:w="2552" w:type="dxa"/>
            <w:tcBorders>
              <w:left w:val="single" w:sz="4" w:space="0" w:color="auto"/>
              <w:bottom w:val="single" w:sz="4" w:space="0" w:color="auto"/>
              <w:right w:val="single" w:sz="4" w:space="0" w:color="auto"/>
            </w:tcBorders>
            <w:shd w:val="clear" w:color="auto" w:fill="FFFFFF"/>
            <w:vAlign w:val="center"/>
          </w:tcPr>
          <w:p w14:paraId="4E099084" w14:textId="77777777" w:rsidR="006A5447" w:rsidRPr="00A161AC" w:rsidRDefault="006A5447" w:rsidP="006A5447">
            <w:pPr>
              <w:spacing w:after="0" w:line="0" w:lineRule="atLeast"/>
              <w:jc w:val="center"/>
              <w:textboxTightWrap w:val="none"/>
              <w:rPr>
                <w:rFonts w:ascii="Wingdings 2" w:hAnsi="Wingdings 2"/>
                <w:color w:val="auto"/>
                <w:sz w:val="22"/>
                <w:szCs w:val="22"/>
                <w:lang w:bidi="en-US"/>
              </w:rPr>
            </w:pPr>
            <w:r w:rsidRPr="00A161AC">
              <w:rPr>
                <w:rFonts w:cs="Arial"/>
                <w:color w:val="auto"/>
                <w:sz w:val="22"/>
                <w:szCs w:val="22"/>
                <w:lang w:bidi="en-US"/>
              </w:rPr>
              <w:t>Leaver rate</w:t>
            </w:r>
          </w:p>
        </w:tc>
      </w:tr>
      <w:tr w:rsidR="006A5447" w:rsidRPr="00A161AC" w14:paraId="2BCF4BCD" w14:textId="77777777" w:rsidTr="006A5447">
        <w:trPr>
          <w:trHeight w:val="425"/>
        </w:trPr>
        <w:tc>
          <w:tcPr>
            <w:tcW w:w="1554" w:type="dxa"/>
            <w:vMerge/>
            <w:tcBorders>
              <w:left w:val="single" w:sz="4" w:space="0" w:color="auto"/>
              <w:bottom w:val="single" w:sz="4" w:space="0" w:color="auto"/>
              <w:right w:val="single" w:sz="4" w:space="0" w:color="auto"/>
            </w:tcBorders>
            <w:vAlign w:val="center"/>
          </w:tcPr>
          <w:p w14:paraId="1441D8F6" w14:textId="77777777" w:rsidR="006A5447" w:rsidRPr="00A161AC" w:rsidRDefault="006A5447" w:rsidP="006A5447">
            <w:pPr>
              <w:spacing w:after="200" w:line="276" w:lineRule="auto"/>
              <w:textboxTightWrap w:val="none"/>
              <w:rPr>
                <w:color w:val="auto"/>
                <w:sz w:val="22"/>
                <w:szCs w:val="22"/>
                <w:lang w:bidi="en-US"/>
              </w:rPr>
            </w:pPr>
          </w:p>
        </w:tc>
        <w:tc>
          <w:tcPr>
            <w:tcW w:w="1464" w:type="dxa"/>
            <w:tcBorders>
              <w:left w:val="single" w:sz="4" w:space="0" w:color="auto"/>
              <w:bottom w:val="single" w:sz="4" w:space="0" w:color="auto"/>
              <w:right w:val="single" w:sz="4" w:space="0" w:color="auto"/>
            </w:tcBorders>
            <w:vAlign w:val="center"/>
          </w:tcPr>
          <w:p w14:paraId="3D2D1B80" w14:textId="77777777" w:rsidR="006A5447" w:rsidRPr="00A161AC" w:rsidRDefault="006A5447" w:rsidP="006A5447">
            <w:pPr>
              <w:spacing w:after="200" w:line="276" w:lineRule="auto"/>
              <w:jc w:val="center"/>
              <w:textboxTightWrap w:val="none"/>
              <w:rPr>
                <w:color w:val="auto"/>
                <w:sz w:val="22"/>
                <w:szCs w:val="22"/>
                <w:lang w:bidi="en-US"/>
              </w:rPr>
            </w:pPr>
            <w:r w:rsidRPr="00A161AC">
              <w:rPr>
                <w:color w:val="auto"/>
                <w:sz w:val="22"/>
                <w:szCs w:val="22"/>
                <w:lang w:bidi="en-US"/>
              </w:rPr>
              <w:t>(3) Productivity</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0684D7F1"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Implied productivity</w:t>
            </w:r>
          </w:p>
        </w:tc>
        <w:tc>
          <w:tcPr>
            <w:tcW w:w="2552" w:type="dxa"/>
            <w:tcBorders>
              <w:left w:val="single" w:sz="4" w:space="0" w:color="auto"/>
              <w:bottom w:val="single" w:sz="4" w:space="0" w:color="auto"/>
              <w:right w:val="single" w:sz="4" w:space="0" w:color="auto"/>
            </w:tcBorders>
            <w:shd w:val="clear" w:color="auto" w:fill="FFFFFF"/>
            <w:vAlign w:val="center"/>
          </w:tcPr>
          <w:p w14:paraId="315CF53E"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Implied productivity</w:t>
            </w:r>
          </w:p>
        </w:tc>
        <w:tc>
          <w:tcPr>
            <w:tcW w:w="2552" w:type="dxa"/>
            <w:tcBorders>
              <w:left w:val="single" w:sz="4" w:space="0" w:color="auto"/>
              <w:bottom w:val="single" w:sz="4" w:space="0" w:color="auto"/>
              <w:right w:val="single" w:sz="4" w:space="0" w:color="auto"/>
            </w:tcBorders>
            <w:shd w:val="clear" w:color="auto" w:fill="FFFFFF"/>
            <w:vAlign w:val="center"/>
          </w:tcPr>
          <w:p w14:paraId="56392A4F"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Implied productivity</w:t>
            </w:r>
          </w:p>
        </w:tc>
        <w:tc>
          <w:tcPr>
            <w:tcW w:w="2552" w:type="dxa"/>
            <w:tcBorders>
              <w:left w:val="single" w:sz="4" w:space="0" w:color="auto"/>
              <w:bottom w:val="single" w:sz="4" w:space="0" w:color="auto"/>
              <w:right w:val="single" w:sz="4" w:space="0" w:color="auto"/>
            </w:tcBorders>
            <w:shd w:val="clear" w:color="auto" w:fill="FFFFFF"/>
            <w:vAlign w:val="center"/>
          </w:tcPr>
          <w:p w14:paraId="6A18E9EB"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Implied productivity</w:t>
            </w:r>
          </w:p>
        </w:tc>
        <w:tc>
          <w:tcPr>
            <w:tcW w:w="2552" w:type="dxa"/>
            <w:tcBorders>
              <w:left w:val="single" w:sz="4" w:space="0" w:color="auto"/>
              <w:bottom w:val="single" w:sz="4" w:space="0" w:color="auto"/>
              <w:right w:val="single" w:sz="4" w:space="0" w:color="auto"/>
            </w:tcBorders>
            <w:shd w:val="clear" w:color="auto" w:fill="FFFFFF"/>
            <w:vAlign w:val="center"/>
          </w:tcPr>
          <w:p w14:paraId="58D2D8AD" w14:textId="77777777" w:rsidR="006A5447" w:rsidRPr="00A161AC" w:rsidRDefault="006A5447" w:rsidP="006A5447">
            <w:pPr>
              <w:spacing w:after="0" w:line="0" w:lineRule="atLeast"/>
              <w:jc w:val="center"/>
              <w:textboxTightWrap w:val="none"/>
              <w:rPr>
                <w:rFonts w:cs="Arial"/>
                <w:color w:val="auto"/>
                <w:sz w:val="22"/>
                <w:szCs w:val="22"/>
                <w:lang w:bidi="en-US"/>
              </w:rPr>
            </w:pPr>
            <w:r w:rsidRPr="00A161AC">
              <w:rPr>
                <w:rFonts w:cs="Arial"/>
                <w:color w:val="auto"/>
                <w:sz w:val="22"/>
                <w:szCs w:val="22"/>
                <w:lang w:bidi="en-US"/>
              </w:rPr>
              <w:t>Implied productivity</w:t>
            </w:r>
          </w:p>
        </w:tc>
      </w:tr>
      <w:tr w:rsidR="006A5447" w:rsidRPr="00A161AC" w14:paraId="093D31A0" w14:textId="77777777" w:rsidTr="006A5447">
        <w:tc>
          <w:tcPr>
            <w:tcW w:w="1554" w:type="dxa"/>
            <w:vMerge w:val="restart"/>
            <w:tcBorders>
              <w:top w:val="single" w:sz="4" w:space="0" w:color="auto"/>
              <w:left w:val="single" w:sz="4" w:space="0" w:color="auto"/>
              <w:right w:val="single" w:sz="4" w:space="0" w:color="auto"/>
            </w:tcBorders>
            <w:vAlign w:val="center"/>
          </w:tcPr>
          <w:p w14:paraId="4A9BC0FA" w14:textId="77777777" w:rsidR="006A5447" w:rsidRPr="00A161AC" w:rsidRDefault="006A5447" w:rsidP="006A5447">
            <w:pPr>
              <w:spacing w:after="200" w:line="276" w:lineRule="auto"/>
              <w:textboxTightWrap w:val="none"/>
              <w:rPr>
                <w:color w:val="auto"/>
                <w:sz w:val="22"/>
                <w:szCs w:val="22"/>
                <w:lang w:bidi="en-US"/>
              </w:rPr>
            </w:pPr>
            <w:r w:rsidRPr="00A161AC">
              <w:rPr>
                <w:color w:val="auto"/>
                <w:sz w:val="22"/>
                <w:szCs w:val="22"/>
                <w:lang w:bidi="en-US"/>
              </w:rPr>
              <w:t xml:space="preserve">(D) Support wider social and </w:t>
            </w:r>
            <w:r w:rsidRPr="00A161AC">
              <w:rPr>
                <w:color w:val="auto"/>
                <w:sz w:val="22"/>
                <w:szCs w:val="22"/>
                <w:lang w:bidi="en-US"/>
              </w:rPr>
              <w:lastRenderedPageBreak/>
              <w:t>economic development</w:t>
            </w:r>
          </w:p>
        </w:tc>
        <w:tc>
          <w:tcPr>
            <w:tcW w:w="1464" w:type="dxa"/>
            <w:tcBorders>
              <w:top w:val="single" w:sz="4" w:space="0" w:color="auto"/>
              <w:left w:val="single" w:sz="4" w:space="0" w:color="auto"/>
              <w:bottom w:val="single" w:sz="4" w:space="0" w:color="auto"/>
              <w:right w:val="single" w:sz="4" w:space="0" w:color="auto"/>
            </w:tcBorders>
            <w:vAlign w:val="center"/>
          </w:tcPr>
          <w:p w14:paraId="544717ED" w14:textId="77777777" w:rsidR="006A5447" w:rsidRPr="00A161AC" w:rsidRDefault="006A5447" w:rsidP="00AB4B85">
            <w:pPr>
              <w:numPr>
                <w:ilvl w:val="0"/>
                <w:numId w:val="29"/>
              </w:numPr>
              <w:spacing w:after="200" w:line="276" w:lineRule="auto"/>
              <w:contextualSpacing/>
              <w:textboxTightWrap w:val="none"/>
              <w:rPr>
                <w:color w:val="auto"/>
                <w:sz w:val="22"/>
                <w:szCs w:val="22"/>
                <w:lang w:bidi="en-US"/>
              </w:rPr>
            </w:pPr>
            <w:r w:rsidRPr="00A161AC">
              <w:rPr>
                <w:color w:val="auto"/>
                <w:sz w:val="22"/>
                <w:szCs w:val="22"/>
                <w:lang w:bidi="en-US"/>
              </w:rPr>
              <w:lastRenderedPageBreak/>
              <w:t xml:space="preserve">Sustainability </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66DC886" w14:textId="77777777" w:rsidR="006A5447" w:rsidRPr="00A161AC" w:rsidRDefault="006A5447" w:rsidP="006A5447">
            <w:pPr>
              <w:spacing w:after="0" w:line="0" w:lineRule="atLeast"/>
              <w:ind w:left="113"/>
              <w:textboxTightWrap w:val="none"/>
              <w:rPr>
                <w:color w:val="auto"/>
                <w:sz w:val="22"/>
                <w:szCs w:val="22"/>
                <w:lang w:bidi="en-US"/>
              </w:rPr>
            </w:pPr>
            <w:r w:rsidRPr="00A161AC">
              <w:rPr>
                <w:color w:val="auto"/>
                <w:sz w:val="22"/>
                <w:szCs w:val="22"/>
                <w:lang w:bidi="en-US"/>
              </w:rPr>
              <w:t>Progress against system sustainability plan</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CB285F5"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color w:val="auto"/>
                <w:sz w:val="22"/>
                <w:szCs w:val="22"/>
                <w:lang w:bidi="en-US"/>
              </w:rPr>
              <w:t>Progress against trust sustainability plan</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7C9FA91"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color w:val="auto"/>
                <w:sz w:val="22"/>
                <w:szCs w:val="22"/>
                <w:lang w:bidi="en-US"/>
              </w:rPr>
              <w:t>Progress against trust sustainability plan</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A9E828A"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color w:val="auto"/>
                <w:sz w:val="22"/>
                <w:szCs w:val="22"/>
                <w:lang w:bidi="en-US"/>
              </w:rPr>
              <w:t>Progress against trust sustainability plan</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E02B742"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color w:val="auto"/>
                <w:sz w:val="22"/>
                <w:szCs w:val="22"/>
                <w:lang w:bidi="en-US"/>
              </w:rPr>
              <w:t>Progress against trust sustainability plan</w:t>
            </w:r>
          </w:p>
        </w:tc>
      </w:tr>
      <w:tr w:rsidR="006A5447" w:rsidRPr="00A161AC" w14:paraId="1EFF75B6" w14:textId="77777777" w:rsidTr="006A5447">
        <w:tc>
          <w:tcPr>
            <w:tcW w:w="1554" w:type="dxa"/>
            <w:vMerge/>
            <w:tcBorders>
              <w:left w:val="single" w:sz="4" w:space="0" w:color="auto"/>
              <w:right w:val="single" w:sz="4" w:space="0" w:color="auto"/>
            </w:tcBorders>
            <w:vAlign w:val="center"/>
          </w:tcPr>
          <w:p w14:paraId="0BA58804" w14:textId="77777777" w:rsidR="006A5447" w:rsidRPr="00A161AC" w:rsidRDefault="006A5447" w:rsidP="006A5447">
            <w:pPr>
              <w:spacing w:after="200" w:line="276" w:lineRule="auto"/>
              <w:ind w:left="113"/>
              <w:textboxTightWrap w:val="none"/>
              <w:rPr>
                <w:color w:val="auto"/>
                <w:sz w:val="22"/>
                <w:szCs w:val="22"/>
                <w:lang w:bidi="en-US"/>
              </w:rPr>
            </w:pPr>
          </w:p>
        </w:tc>
        <w:tc>
          <w:tcPr>
            <w:tcW w:w="1464" w:type="dxa"/>
            <w:vMerge w:val="restart"/>
            <w:tcBorders>
              <w:top w:val="single" w:sz="4" w:space="0" w:color="auto"/>
              <w:left w:val="single" w:sz="4" w:space="0" w:color="auto"/>
              <w:right w:val="single" w:sz="4" w:space="0" w:color="auto"/>
            </w:tcBorders>
            <w:vAlign w:val="center"/>
          </w:tcPr>
          <w:p w14:paraId="685FC077" w14:textId="77777777" w:rsidR="006A5447" w:rsidRPr="00A161AC" w:rsidRDefault="006A5447" w:rsidP="00AB4B85">
            <w:pPr>
              <w:numPr>
                <w:ilvl w:val="0"/>
                <w:numId w:val="29"/>
              </w:numPr>
              <w:spacing w:after="200" w:line="276" w:lineRule="auto"/>
              <w:contextualSpacing/>
              <w:textboxTightWrap w:val="none"/>
              <w:rPr>
                <w:color w:val="auto"/>
                <w:sz w:val="22"/>
                <w:szCs w:val="22"/>
                <w:lang w:bidi="en-US"/>
              </w:rPr>
            </w:pPr>
            <w:r w:rsidRPr="00A161AC">
              <w:rPr>
                <w:color w:val="auto"/>
                <w:sz w:val="22"/>
                <w:szCs w:val="22"/>
                <w:lang w:bidi="en-US"/>
              </w:rPr>
              <w:t xml:space="preserve">Building the </w:t>
            </w:r>
            <w:r w:rsidRPr="00A161AC">
              <w:rPr>
                <w:color w:val="auto"/>
                <w:sz w:val="22"/>
                <w:szCs w:val="22"/>
                <w:lang w:bidi="en-US"/>
              </w:rPr>
              <w:lastRenderedPageBreak/>
              <w:t>future workforce</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3C678C38" w14:textId="77777777" w:rsidR="006A5447" w:rsidRPr="00A161AC" w:rsidRDefault="006A5447" w:rsidP="006A5447">
            <w:pPr>
              <w:spacing w:after="0" w:line="0" w:lineRule="atLeast"/>
              <w:ind w:left="113"/>
              <w:textboxTightWrap w:val="none"/>
              <w:rPr>
                <w:color w:val="auto"/>
                <w:sz w:val="22"/>
                <w:szCs w:val="22"/>
                <w:lang w:bidi="en-US"/>
              </w:rPr>
            </w:pPr>
            <w:r w:rsidRPr="00A161AC">
              <w:rPr>
                <w:color w:val="auto"/>
                <w:sz w:val="22"/>
                <w:szCs w:val="22"/>
                <w:lang w:bidi="en-US"/>
              </w:rPr>
              <w:lastRenderedPageBreak/>
              <w:t xml:space="preserve">Proportion of staff who agree that their organisation acts fairly </w:t>
            </w:r>
            <w:r w:rsidRPr="00A161AC">
              <w:rPr>
                <w:color w:val="auto"/>
                <w:sz w:val="22"/>
                <w:szCs w:val="22"/>
                <w:lang w:bidi="en-US"/>
              </w:rPr>
              <w:lastRenderedPageBreak/>
              <w:t xml:space="preserve">with regard to career progression/promotion </w:t>
            </w:r>
          </w:p>
        </w:tc>
        <w:tc>
          <w:tcPr>
            <w:tcW w:w="2552" w:type="dxa"/>
            <w:vMerge w:val="restart"/>
            <w:tcBorders>
              <w:top w:val="single" w:sz="4" w:space="0" w:color="auto"/>
              <w:left w:val="single" w:sz="4" w:space="0" w:color="auto"/>
              <w:right w:val="single" w:sz="4" w:space="0" w:color="auto"/>
            </w:tcBorders>
            <w:shd w:val="clear" w:color="auto" w:fill="FFFFFF"/>
            <w:vAlign w:val="center"/>
          </w:tcPr>
          <w:p w14:paraId="6B7B04E7"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rFonts w:cs="Arial"/>
                <w:color w:val="auto"/>
                <w:sz w:val="22"/>
                <w:szCs w:val="22"/>
                <w:lang w:bidi="en-US"/>
              </w:rPr>
              <w:lastRenderedPageBreak/>
              <w:t>Proportion of Apprenticeship Levy spent.</w:t>
            </w:r>
          </w:p>
          <w:p w14:paraId="6977F379"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rFonts w:cs="Arial"/>
                <w:color w:val="auto"/>
                <w:sz w:val="22"/>
                <w:szCs w:val="22"/>
                <w:lang w:bidi="en-US"/>
              </w:rPr>
              <w:lastRenderedPageBreak/>
              <w:t>Proportion of senior staff who are women, from a minority ethnic background or are disabled</w:t>
            </w:r>
          </w:p>
        </w:tc>
        <w:tc>
          <w:tcPr>
            <w:tcW w:w="2552" w:type="dxa"/>
            <w:vMerge w:val="restart"/>
            <w:tcBorders>
              <w:top w:val="single" w:sz="4" w:space="0" w:color="auto"/>
              <w:left w:val="single" w:sz="4" w:space="0" w:color="auto"/>
              <w:right w:val="single" w:sz="4" w:space="0" w:color="auto"/>
            </w:tcBorders>
            <w:shd w:val="clear" w:color="auto" w:fill="FFFFFF"/>
            <w:vAlign w:val="center"/>
          </w:tcPr>
          <w:p w14:paraId="39C455FA"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rFonts w:cs="Arial"/>
                <w:color w:val="auto"/>
                <w:sz w:val="22"/>
                <w:szCs w:val="22"/>
                <w:lang w:bidi="en-US"/>
              </w:rPr>
              <w:lastRenderedPageBreak/>
              <w:t>Proportion of Apprenticeship Levy spent</w:t>
            </w:r>
          </w:p>
          <w:p w14:paraId="3C233CAD"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rFonts w:cs="Arial"/>
                <w:color w:val="auto"/>
                <w:sz w:val="22"/>
                <w:szCs w:val="22"/>
                <w:lang w:bidi="en-US"/>
              </w:rPr>
              <w:lastRenderedPageBreak/>
              <w:t>Proportion of senior staff who are women, from a minority ethnic background or are disabled</w:t>
            </w:r>
          </w:p>
        </w:tc>
        <w:tc>
          <w:tcPr>
            <w:tcW w:w="2552" w:type="dxa"/>
            <w:vMerge w:val="restart"/>
            <w:tcBorders>
              <w:top w:val="single" w:sz="4" w:space="0" w:color="auto"/>
              <w:left w:val="single" w:sz="4" w:space="0" w:color="auto"/>
              <w:right w:val="single" w:sz="4" w:space="0" w:color="auto"/>
            </w:tcBorders>
            <w:shd w:val="clear" w:color="auto" w:fill="FFFFFF"/>
            <w:vAlign w:val="center"/>
          </w:tcPr>
          <w:p w14:paraId="2EDB7F0F"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rFonts w:cs="Arial"/>
                <w:color w:val="auto"/>
                <w:sz w:val="22"/>
                <w:szCs w:val="22"/>
                <w:lang w:bidi="en-US"/>
              </w:rPr>
              <w:lastRenderedPageBreak/>
              <w:t>Proportion of Apprenticeship Levy spent</w:t>
            </w:r>
          </w:p>
          <w:p w14:paraId="35A61D7E"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rFonts w:cs="Arial"/>
                <w:color w:val="auto"/>
                <w:sz w:val="22"/>
                <w:szCs w:val="22"/>
                <w:lang w:bidi="en-US"/>
              </w:rPr>
              <w:lastRenderedPageBreak/>
              <w:t>Proportion of senior staff who are women, from a minority ethnic background or are disabled</w:t>
            </w:r>
          </w:p>
        </w:tc>
        <w:tc>
          <w:tcPr>
            <w:tcW w:w="2552" w:type="dxa"/>
            <w:vMerge w:val="restart"/>
            <w:tcBorders>
              <w:top w:val="single" w:sz="4" w:space="0" w:color="auto"/>
              <w:left w:val="single" w:sz="4" w:space="0" w:color="auto"/>
              <w:right w:val="single" w:sz="4" w:space="0" w:color="auto"/>
            </w:tcBorders>
            <w:shd w:val="clear" w:color="auto" w:fill="FFFFFF"/>
            <w:vAlign w:val="center"/>
          </w:tcPr>
          <w:p w14:paraId="40C649B5"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rFonts w:cs="Arial"/>
                <w:color w:val="auto"/>
                <w:sz w:val="22"/>
                <w:szCs w:val="22"/>
                <w:lang w:bidi="en-US"/>
              </w:rPr>
              <w:lastRenderedPageBreak/>
              <w:t>Proportion of Apprenticeship Levy spent</w:t>
            </w:r>
          </w:p>
          <w:p w14:paraId="120683EA"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rFonts w:cs="Arial"/>
                <w:color w:val="auto"/>
                <w:sz w:val="22"/>
                <w:szCs w:val="22"/>
                <w:lang w:bidi="en-US"/>
              </w:rPr>
              <w:lastRenderedPageBreak/>
              <w:t>Proportion of senior staff who are women, from a minority ethnic background or are disabled</w:t>
            </w:r>
          </w:p>
        </w:tc>
      </w:tr>
      <w:tr w:rsidR="006A5447" w:rsidRPr="00A161AC" w14:paraId="02F21AA7" w14:textId="77777777" w:rsidTr="006A5447">
        <w:tc>
          <w:tcPr>
            <w:tcW w:w="1554" w:type="dxa"/>
            <w:vMerge/>
            <w:tcBorders>
              <w:left w:val="single" w:sz="4" w:space="0" w:color="auto"/>
              <w:right w:val="single" w:sz="4" w:space="0" w:color="auto"/>
            </w:tcBorders>
            <w:vAlign w:val="center"/>
          </w:tcPr>
          <w:p w14:paraId="49538874" w14:textId="77777777" w:rsidR="006A5447" w:rsidRPr="00A161AC" w:rsidRDefault="006A5447" w:rsidP="006A5447">
            <w:pPr>
              <w:spacing w:after="200" w:line="276" w:lineRule="auto"/>
              <w:ind w:left="113"/>
              <w:textboxTightWrap w:val="none"/>
              <w:rPr>
                <w:color w:val="auto"/>
                <w:sz w:val="22"/>
                <w:szCs w:val="22"/>
                <w:lang w:bidi="en-US"/>
              </w:rPr>
            </w:pPr>
          </w:p>
        </w:tc>
        <w:tc>
          <w:tcPr>
            <w:tcW w:w="1464" w:type="dxa"/>
            <w:vMerge/>
            <w:tcBorders>
              <w:left w:val="single" w:sz="4" w:space="0" w:color="auto"/>
              <w:bottom w:val="single" w:sz="4" w:space="0" w:color="auto"/>
              <w:right w:val="single" w:sz="4" w:space="0" w:color="auto"/>
            </w:tcBorders>
            <w:vAlign w:val="center"/>
          </w:tcPr>
          <w:p w14:paraId="24A6B2F8" w14:textId="77777777" w:rsidR="006A5447" w:rsidRPr="00A161AC" w:rsidRDefault="006A5447" w:rsidP="006A5447">
            <w:pPr>
              <w:spacing w:after="200" w:line="276" w:lineRule="auto"/>
              <w:ind w:left="113"/>
              <w:textboxTightWrap w:val="none"/>
              <w:rPr>
                <w:color w:val="auto"/>
                <w:sz w:val="22"/>
                <w:szCs w:val="22"/>
                <w:lang w:bidi="en-U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2A2C8BFE" w14:textId="77777777" w:rsidR="006A5447" w:rsidRPr="00A161AC" w:rsidRDefault="006A5447" w:rsidP="006A5447">
            <w:pPr>
              <w:spacing w:after="0" w:line="0" w:lineRule="atLeast"/>
              <w:ind w:left="113"/>
              <w:textboxTightWrap w:val="none"/>
              <w:rPr>
                <w:color w:val="auto"/>
                <w:sz w:val="22"/>
                <w:szCs w:val="22"/>
                <w:lang w:bidi="en-US"/>
              </w:rPr>
            </w:pPr>
            <w:r w:rsidRPr="00A161AC">
              <w:rPr>
                <w:color w:val="auto"/>
                <w:sz w:val="22"/>
                <w:szCs w:val="22"/>
                <w:lang w:bidi="en-US"/>
              </w:rPr>
              <w:t>Proportion of senior staff who are women, from a minority ethnic background or are disabled</w:t>
            </w:r>
          </w:p>
        </w:tc>
        <w:tc>
          <w:tcPr>
            <w:tcW w:w="2552" w:type="dxa"/>
            <w:vMerge/>
            <w:tcBorders>
              <w:left w:val="single" w:sz="4" w:space="0" w:color="auto"/>
              <w:bottom w:val="single" w:sz="4" w:space="0" w:color="auto"/>
              <w:right w:val="single" w:sz="4" w:space="0" w:color="auto"/>
            </w:tcBorders>
            <w:shd w:val="clear" w:color="auto" w:fill="FFFFFF"/>
            <w:vAlign w:val="center"/>
          </w:tcPr>
          <w:p w14:paraId="0A035616" w14:textId="77777777" w:rsidR="006A5447" w:rsidRPr="00A161AC" w:rsidRDefault="006A5447" w:rsidP="006A5447">
            <w:pPr>
              <w:spacing w:after="0" w:line="0" w:lineRule="atLeast"/>
              <w:ind w:left="113"/>
              <w:jc w:val="center"/>
              <w:textboxTightWrap w:val="none"/>
              <w:rPr>
                <w:rFonts w:cs="Arial"/>
                <w:color w:val="auto"/>
                <w:sz w:val="22"/>
                <w:szCs w:val="22"/>
                <w:lang w:bidi="en-US"/>
              </w:rPr>
            </w:pPr>
          </w:p>
        </w:tc>
        <w:tc>
          <w:tcPr>
            <w:tcW w:w="2552" w:type="dxa"/>
            <w:vMerge/>
            <w:tcBorders>
              <w:left w:val="single" w:sz="4" w:space="0" w:color="auto"/>
              <w:bottom w:val="single" w:sz="4" w:space="0" w:color="auto"/>
              <w:right w:val="single" w:sz="4" w:space="0" w:color="auto"/>
            </w:tcBorders>
            <w:shd w:val="clear" w:color="auto" w:fill="FFFFFF"/>
            <w:vAlign w:val="center"/>
          </w:tcPr>
          <w:p w14:paraId="3D0A300E" w14:textId="77777777" w:rsidR="006A5447" w:rsidRPr="00A161AC" w:rsidRDefault="006A5447" w:rsidP="006A5447">
            <w:pPr>
              <w:spacing w:after="0" w:line="0" w:lineRule="atLeast"/>
              <w:ind w:left="113"/>
              <w:jc w:val="center"/>
              <w:textboxTightWrap w:val="none"/>
              <w:rPr>
                <w:rFonts w:cs="Arial"/>
                <w:color w:val="auto"/>
                <w:sz w:val="22"/>
                <w:szCs w:val="22"/>
                <w:lang w:bidi="en-US"/>
              </w:rPr>
            </w:pPr>
          </w:p>
        </w:tc>
        <w:tc>
          <w:tcPr>
            <w:tcW w:w="2552" w:type="dxa"/>
            <w:vMerge/>
            <w:tcBorders>
              <w:left w:val="single" w:sz="4" w:space="0" w:color="auto"/>
              <w:bottom w:val="single" w:sz="4" w:space="0" w:color="auto"/>
              <w:right w:val="single" w:sz="4" w:space="0" w:color="auto"/>
            </w:tcBorders>
            <w:shd w:val="clear" w:color="auto" w:fill="FFFFFF"/>
            <w:vAlign w:val="center"/>
          </w:tcPr>
          <w:p w14:paraId="4AE26D6A" w14:textId="77777777" w:rsidR="006A5447" w:rsidRPr="00A161AC" w:rsidRDefault="006A5447" w:rsidP="006A5447">
            <w:pPr>
              <w:spacing w:after="0" w:line="0" w:lineRule="atLeast"/>
              <w:ind w:left="113"/>
              <w:jc w:val="center"/>
              <w:textboxTightWrap w:val="none"/>
              <w:rPr>
                <w:rFonts w:cs="Arial"/>
                <w:color w:val="auto"/>
                <w:sz w:val="22"/>
                <w:szCs w:val="22"/>
                <w:lang w:bidi="en-US"/>
              </w:rPr>
            </w:pPr>
          </w:p>
        </w:tc>
        <w:tc>
          <w:tcPr>
            <w:tcW w:w="2552" w:type="dxa"/>
            <w:vMerge/>
            <w:tcBorders>
              <w:left w:val="single" w:sz="4" w:space="0" w:color="auto"/>
              <w:bottom w:val="single" w:sz="4" w:space="0" w:color="auto"/>
              <w:right w:val="single" w:sz="4" w:space="0" w:color="auto"/>
            </w:tcBorders>
            <w:shd w:val="clear" w:color="auto" w:fill="FFFFFF"/>
            <w:vAlign w:val="center"/>
          </w:tcPr>
          <w:p w14:paraId="6B8C5DA9" w14:textId="77777777" w:rsidR="006A5447" w:rsidRPr="00A161AC" w:rsidRDefault="006A5447" w:rsidP="006A5447">
            <w:pPr>
              <w:spacing w:after="0" w:line="0" w:lineRule="atLeast"/>
              <w:ind w:left="113"/>
              <w:jc w:val="center"/>
              <w:textboxTightWrap w:val="none"/>
              <w:rPr>
                <w:rFonts w:cs="Arial"/>
                <w:color w:val="auto"/>
                <w:sz w:val="22"/>
                <w:szCs w:val="22"/>
                <w:lang w:bidi="en-US"/>
              </w:rPr>
            </w:pPr>
          </w:p>
        </w:tc>
      </w:tr>
      <w:tr w:rsidR="006A5447" w:rsidRPr="00A161AC" w14:paraId="2CE36B1B" w14:textId="77777777" w:rsidTr="006A5447">
        <w:tc>
          <w:tcPr>
            <w:tcW w:w="1554" w:type="dxa"/>
            <w:vMerge/>
            <w:tcBorders>
              <w:left w:val="single" w:sz="4" w:space="0" w:color="auto"/>
              <w:right w:val="single" w:sz="4" w:space="0" w:color="auto"/>
            </w:tcBorders>
            <w:vAlign w:val="center"/>
          </w:tcPr>
          <w:p w14:paraId="1CF52EB2" w14:textId="77777777" w:rsidR="006A5447" w:rsidRPr="00A161AC" w:rsidRDefault="006A5447" w:rsidP="006A5447">
            <w:pPr>
              <w:spacing w:after="200" w:line="276" w:lineRule="auto"/>
              <w:ind w:left="113"/>
              <w:textboxTightWrap w:val="none"/>
              <w:rPr>
                <w:color w:val="auto"/>
                <w:sz w:val="22"/>
                <w:szCs w:val="22"/>
                <w:lang w:bidi="en-US"/>
              </w:rPr>
            </w:pPr>
          </w:p>
        </w:tc>
        <w:tc>
          <w:tcPr>
            <w:tcW w:w="1464" w:type="dxa"/>
            <w:tcBorders>
              <w:top w:val="single" w:sz="4" w:space="0" w:color="auto"/>
              <w:left w:val="single" w:sz="4" w:space="0" w:color="auto"/>
              <w:right w:val="single" w:sz="4" w:space="0" w:color="auto"/>
            </w:tcBorders>
            <w:vAlign w:val="center"/>
          </w:tcPr>
          <w:p w14:paraId="050D14B9" w14:textId="77777777" w:rsidR="006A5447" w:rsidRPr="00A161AC" w:rsidRDefault="006A5447" w:rsidP="00AB4B85">
            <w:pPr>
              <w:numPr>
                <w:ilvl w:val="0"/>
                <w:numId w:val="29"/>
              </w:numPr>
              <w:spacing w:after="200" w:line="276" w:lineRule="auto"/>
              <w:contextualSpacing/>
              <w:textboxTightWrap w:val="none"/>
              <w:rPr>
                <w:color w:val="auto"/>
                <w:sz w:val="22"/>
                <w:szCs w:val="22"/>
                <w:lang w:bidi="en-US"/>
              </w:rPr>
            </w:pPr>
            <w:r w:rsidRPr="00A161AC">
              <w:rPr>
                <w:color w:val="auto"/>
                <w:sz w:val="22"/>
                <w:szCs w:val="22"/>
                <w:lang w:bidi="en-US"/>
              </w:rPr>
              <w:t>Ethical procurement</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1E0AE35" w14:textId="77777777" w:rsidR="006A5447" w:rsidRPr="00A161AC" w:rsidRDefault="006A5447" w:rsidP="006A5447">
            <w:pPr>
              <w:spacing w:after="0" w:line="0" w:lineRule="atLeast"/>
              <w:ind w:left="113"/>
              <w:textboxTightWrap w:val="none"/>
              <w:rPr>
                <w:color w:val="auto"/>
                <w:sz w:val="22"/>
                <w:szCs w:val="22"/>
                <w:lang w:bidi="en-US"/>
              </w:rPr>
            </w:pPr>
            <w:r w:rsidRPr="00A161AC">
              <w:rPr>
                <w:color w:val="auto"/>
                <w:sz w:val="22"/>
                <w:szCs w:val="22"/>
                <w:lang w:bidi="en-US"/>
              </w:rPr>
              <w:t>Compliance with 10% social value weighting across contracts</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3881F85"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color w:val="auto"/>
                <w:sz w:val="22"/>
                <w:szCs w:val="22"/>
                <w:lang w:bidi="en-US"/>
              </w:rPr>
              <w:t>Compliance with 10% social value weighting across contracts</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82DD2E3"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color w:val="auto"/>
                <w:sz w:val="22"/>
                <w:szCs w:val="22"/>
                <w:lang w:bidi="en-US"/>
              </w:rPr>
              <w:t>Compliance with 10% social value weighting across contracts</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1001054"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color w:val="auto"/>
                <w:sz w:val="22"/>
                <w:szCs w:val="22"/>
                <w:lang w:bidi="en-US"/>
              </w:rPr>
              <w:t>Compliance with 10% social value weighting across contracts</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A7F3364" w14:textId="77777777" w:rsidR="006A5447" w:rsidRPr="00A161AC" w:rsidRDefault="006A5447" w:rsidP="006A5447">
            <w:pPr>
              <w:spacing w:after="0" w:line="0" w:lineRule="atLeast"/>
              <w:ind w:left="113"/>
              <w:jc w:val="center"/>
              <w:textboxTightWrap w:val="none"/>
              <w:rPr>
                <w:rFonts w:cs="Arial"/>
                <w:color w:val="auto"/>
                <w:sz w:val="22"/>
                <w:szCs w:val="22"/>
                <w:lang w:bidi="en-US"/>
              </w:rPr>
            </w:pPr>
            <w:r w:rsidRPr="00A161AC">
              <w:rPr>
                <w:color w:val="auto"/>
                <w:sz w:val="22"/>
                <w:szCs w:val="22"/>
                <w:lang w:bidi="en-US"/>
              </w:rPr>
              <w:t>Compliance with 10% social value weighting across contracts</w:t>
            </w:r>
          </w:p>
        </w:tc>
      </w:tr>
    </w:tbl>
    <w:p w14:paraId="24C245AF" w14:textId="77777777" w:rsidR="004A17C5" w:rsidRPr="00A161AC" w:rsidRDefault="004A17C5" w:rsidP="006A5447">
      <w:pPr>
        <w:pStyle w:val="bodytextnumbered"/>
        <w:numPr>
          <w:ilvl w:val="0"/>
          <w:numId w:val="0"/>
        </w:numPr>
        <w:ind w:left="567" w:hanging="567"/>
      </w:pPr>
    </w:p>
    <w:sectPr w:rsidR="004A17C5" w:rsidRPr="00A161AC" w:rsidSect="006E32A3">
      <w:pgSz w:w="16838" w:h="11906" w:orient="landscape"/>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2639" w14:textId="77777777" w:rsidR="0083691A" w:rsidRDefault="0083691A" w:rsidP="000C24AF">
      <w:pPr>
        <w:spacing w:after="0"/>
      </w:pPr>
      <w:r>
        <w:separator/>
      </w:r>
    </w:p>
  </w:endnote>
  <w:endnote w:type="continuationSeparator" w:id="0">
    <w:p w14:paraId="5C48C6D3" w14:textId="77777777" w:rsidR="0083691A" w:rsidRDefault="0083691A" w:rsidP="000C24AF">
      <w:pPr>
        <w:spacing w:after="0"/>
      </w:pPr>
      <w:r>
        <w:continuationSeparator/>
      </w:r>
    </w:p>
  </w:endnote>
  <w:endnote w:type="continuationNotice" w:id="1">
    <w:p w14:paraId="006B1ECA" w14:textId="77777777" w:rsidR="0083691A" w:rsidRDefault="00836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Heiti Std R">
    <w:panose1 w:val="020B0400000000000000"/>
    <w:charset w:val="80"/>
    <w:family w:val="swiss"/>
    <w:notTrueType/>
    <w:pitch w:val="variable"/>
    <w:sig w:usb0="00000207" w:usb1="0A0F1810" w:usb2="00000016" w:usb3="00000000" w:csb0="00060007" w:csb1="00000000"/>
  </w:font>
  <w:font w:name="+mn-ea">
    <w:panose1 w:val="00000000000000000000"/>
    <w:charset w:val="00"/>
    <w:family w:val="roman"/>
    <w:notTrueType/>
    <w:pitch w:val="default"/>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7F3A" w14:textId="77777777" w:rsidR="00603A2C" w:rsidRDefault="00603A2C" w:rsidP="00603A2C">
    <w:pPr>
      <w:pStyle w:val="Footer"/>
      <w:pBdr>
        <w:top w:val="single" w:sz="4" w:space="1" w:color="005EB8"/>
      </w:pBdr>
    </w:pPr>
  </w:p>
  <w:p w14:paraId="2C779197" w14:textId="5DF8B261" w:rsidR="00B72132" w:rsidRPr="00AC35F8" w:rsidRDefault="00B72132">
    <w:pPr>
      <w:pStyle w:val="Footer"/>
      <w:rPr>
        <w:sz w:val="24"/>
      </w:rPr>
    </w:pPr>
    <w:r w:rsidRPr="00AC35F8">
      <w:rPr>
        <w:sz w:val="24"/>
      </w:rPr>
      <w:t xml:space="preserve">Publication reference: </w:t>
    </w:r>
    <w:r w:rsidR="000916D1" w:rsidRPr="00052C95">
      <w:rPr>
        <w:sz w:val="24"/>
      </w:rPr>
      <w:t>PRN00351_i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EndPr/>
    <w:sdtContent>
      <w:p w14:paraId="150FC326" w14:textId="77777777" w:rsidR="008A3E2F" w:rsidRDefault="008A3E2F" w:rsidP="008A3E2F">
        <w:pPr>
          <w:pStyle w:val="Footer"/>
          <w:pBdr>
            <w:top w:val="single" w:sz="4" w:space="1" w:color="005EB8"/>
          </w:pBdr>
        </w:pPr>
      </w:p>
      <w:p w14:paraId="18BE3C83" w14:textId="359D99A7" w:rsidR="00B72132" w:rsidRPr="008A3E2F" w:rsidRDefault="008A3E2F" w:rsidP="008A3E2F">
        <w:pPr>
          <w:pStyle w:val="Footer"/>
        </w:pPr>
        <w:r w:rsidRPr="00AC35F8">
          <w:rPr>
            <w:sz w:val="24"/>
          </w:rPr>
          <w:t>© NHS England 202</w:t>
        </w:r>
        <w:r w:rsidR="0053499D" w:rsidRPr="00AC35F8">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796495"/>
      <w:docPartObj>
        <w:docPartGallery w:val="Page Numbers (Bottom of Page)"/>
        <w:docPartUnique/>
      </w:docPartObj>
    </w:sdtPr>
    <w:sdtEndPr/>
    <w:sdtContent>
      <w:p w14:paraId="1CA9E805" w14:textId="77777777" w:rsidR="00603A2C" w:rsidRDefault="00603A2C" w:rsidP="00603A2C">
        <w:pPr>
          <w:pStyle w:val="Footer"/>
          <w:pBdr>
            <w:top w:val="single" w:sz="4" w:space="1" w:color="005EB8"/>
          </w:pBdr>
        </w:pPr>
      </w:p>
      <w:p w14:paraId="3D36CD80"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85B5" w14:textId="77777777" w:rsidR="0083691A" w:rsidRDefault="0083691A" w:rsidP="000C24AF">
      <w:pPr>
        <w:spacing w:after="0"/>
      </w:pPr>
      <w:r>
        <w:separator/>
      </w:r>
    </w:p>
  </w:footnote>
  <w:footnote w:type="continuationSeparator" w:id="0">
    <w:p w14:paraId="58CD06D8" w14:textId="77777777" w:rsidR="0083691A" w:rsidRDefault="0083691A" w:rsidP="000C24AF">
      <w:pPr>
        <w:spacing w:after="0"/>
      </w:pPr>
      <w:r>
        <w:continuationSeparator/>
      </w:r>
    </w:p>
  </w:footnote>
  <w:footnote w:type="continuationNotice" w:id="1">
    <w:p w14:paraId="432EFFFF" w14:textId="77777777" w:rsidR="0083691A" w:rsidRDefault="0083691A">
      <w:pPr>
        <w:spacing w:after="0" w:line="240" w:lineRule="auto"/>
      </w:pPr>
    </w:p>
  </w:footnote>
  <w:footnote w:id="2">
    <w:p w14:paraId="4DD6C20D" w14:textId="00FE073C" w:rsidR="00F11B76" w:rsidRDefault="00F11B76" w:rsidP="00F11B76">
      <w:pPr>
        <w:pStyle w:val="FootnoteText"/>
      </w:pPr>
      <w:r>
        <w:rPr>
          <w:rStyle w:val="FootnoteReference"/>
        </w:rPr>
        <w:footnoteRef/>
      </w:r>
      <w:r>
        <w:t xml:space="preserve"> For </w:t>
      </w:r>
      <w:r w:rsidR="00E07BA7">
        <w:t xml:space="preserve">the purposes of </w:t>
      </w:r>
      <w:r>
        <w:t xml:space="preserve">this document, ‘providers’ refers to NHS </w:t>
      </w:r>
      <w:r w:rsidR="005957D0">
        <w:t>t</w:t>
      </w:r>
      <w:r>
        <w:t xml:space="preserve">rusts and </w:t>
      </w:r>
      <w:r w:rsidR="005957D0">
        <w:t>f</w:t>
      </w:r>
      <w:r>
        <w:t xml:space="preserve">oundation </w:t>
      </w:r>
      <w:r w:rsidR="005957D0">
        <w:t>t</w:t>
      </w:r>
      <w:r>
        <w:t>rusts</w:t>
      </w:r>
      <w:r w:rsidR="005957D0">
        <w:t xml:space="preserve"> only</w:t>
      </w:r>
      <w:r w:rsidR="006D23ED">
        <w:t xml:space="preserve"> and does not include primary care or independent providers. </w:t>
      </w:r>
      <w:r>
        <w:t xml:space="preserve"> </w:t>
      </w:r>
    </w:p>
  </w:footnote>
  <w:footnote w:id="3">
    <w:p w14:paraId="43AD91AB" w14:textId="60F22E8F" w:rsidR="00EC0EB2" w:rsidRDefault="00EC0EB2" w:rsidP="00EC0EB2">
      <w:pPr>
        <w:pStyle w:val="FootnoteText"/>
      </w:pPr>
      <w:r>
        <w:rPr>
          <w:rStyle w:val="FootnoteReference"/>
        </w:rPr>
        <w:footnoteRef/>
      </w:r>
      <w:r>
        <w:t xml:space="preserve"> </w:t>
      </w:r>
      <w:r w:rsidRPr="003908B4">
        <w:t>The ICB and its NHS partners</w:t>
      </w:r>
      <w:r>
        <w:t xml:space="preserve">, including NHS England, </w:t>
      </w:r>
      <w:r w:rsidRPr="003908B4">
        <w:t xml:space="preserve">make up </w:t>
      </w:r>
      <w:r w:rsidR="00364ABC">
        <w:t>the</w:t>
      </w:r>
      <w:r w:rsidR="00364ABC" w:rsidRPr="003908B4">
        <w:t xml:space="preserve"> </w:t>
      </w:r>
      <w:r w:rsidRPr="003908B4">
        <w:t>‘NHS system’ within each ICS.</w:t>
      </w:r>
    </w:p>
  </w:footnote>
  <w:footnote w:id="4">
    <w:p w14:paraId="36B7A80F" w14:textId="77777777" w:rsidR="00A70837" w:rsidRDefault="00A70837" w:rsidP="00A70837">
      <w:pPr>
        <w:pStyle w:val="FootnoteText"/>
      </w:pPr>
      <w:r>
        <w:rPr>
          <w:rStyle w:val="FootnoteReference"/>
        </w:rPr>
        <w:footnoteRef/>
      </w:r>
      <w:r>
        <w:t xml:space="preserve"> For this document, oversight of providers ‘through’ its relevant ICB refers to an arrangement whereby NHS England asks the ICB to carry out the oversight of providers in the first instance. It does not imply that NHS England delegates its oversight responsibilities in relation to providers to the ICB. </w:t>
      </w:r>
    </w:p>
  </w:footnote>
  <w:footnote w:id="5">
    <w:p w14:paraId="3EB71573" w14:textId="77777777" w:rsidR="00A70837" w:rsidRDefault="00A70837" w:rsidP="00A70837">
      <w:pPr>
        <w:pStyle w:val="FootnoteText"/>
      </w:pPr>
      <w:r>
        <w:rPr>
          <w:rStyle w:val="FootnoteReference"/>
        </w:rPr>
        <w:footnoteRef/>
      </w:r>
      <w:r>
        <w:t xml:space="preserve"> To refer to the full list of ICB financial apportionment relationships, access the “ICB financial apportionment” </w:t>
      </w:r>
    </w:p>
    <w:p w14:paraId="10BEB9FE" w14:textId="77777777" w:rsidR="00A70837" w:rsidRDefault="00A70837" w:rsidP="00A70837">
      <w:pPr>
        <w:pStyle w:val="FootnoteText"/>
      </w:pPr>
      <w:r>
        <w:t>tab within the file titled “ICB partner organisations” on the ODS webpage using the hyperlink provided.</w:t>
      </w:r>
    </w:p>
  </w:footnote>
  <w:footnote w:id="6">
    <w:p w14:paraId="48F37CCE" w14:textId="492CBC6A" w:rsidR="00A26079" w:rsidRPr="00040C7E" w:rsidRDefault="00A26079" w:rsidP="00A26079">
      <w:pPr>
        <w:pStyle w:val="FootnoteText"/>
        <w:rPr>
          <w:color w:val="57646E" w:themeColor="accent2" w:themeShade="BF"/>
        </w:rPr>
      </w:pPr>
      <w:r w:rsidRPr="00040C7E">
        <w:rPr>
          <w:rStyle w:val="FootnoteReference"/>
          <w:color w:val="57646E" w:themeColor="accent2" w:themeShade="BF"/>
        </w:rPr>
        <w:footnoteRef/>
      </w:r>
      <w:r w:rsidRPr="00040C7E">
        <w:rPr>
          <w:color w:val="57646E" w:themeColor="accent2" w:themeShade="BF"/>
        </w:rPr>
        <w:t xml:space="preserve"> </w:t>
      </w:r>
      <w:r w:rsidRPr="00040C7E">
        <w:rPr>
          <w:i/>
          <w:iCs/>
          <w:color w:val="57646E" w:themeColor="accent2" w:themeShade="BF"/>
        </w:rPr>
        <w:t>Section 14Z</w:t>
      </w:r>
      <w:r w:rsidR="0021628B">
        <w:rPr>
          <w:i/>
          <w:iCs/>
          <w:color w:val="57646E" w:themeColor="accent2" w:themeShade="BF"/>
        </w:rPr>
        <w:t>59</w:t>
      </w:r>
      <w:r w:rsidRPr="00040C7E">
        <w:rPr>
          <w:i/>
          <w:iCs/>
          <w:color w:val="57646E" w:themeColor="accent2" w:themeShade="BF"/>
        </w:rPr>
        <w:t xml:space="preserve"> of the National Health Service Act 2006 as amended by the Health and Care Act 2022</w:t>
      </w:r>
    </w:p>
  </w:footnote>
  <w:footnote w:id="7">
    <w:p w14:paraId="00D8CDDC" w14:textId="3E04E4F5" w:rsidR="00D94BAF" w:rsidRDefault="00D94BAF">
      <w:pPr>
        <w:pStyle w:val="FootnoteText"/>
      </w:pPr>
      <w:r>
        <w:rPr>
          <w:rStyle w:val="FootnoteReference"/>
        </w:rPr>
        <w:footnoteRef/>
      </w:r>
      <w:r>
        <w:t xml:space="preserve"> As for 2024/25, this letter will replace the Memoranda of Understanding previously agreed between NHS England regional teams and ICBs. </w:t>
      </w:r>
    </w:p>
  </w:footnote>
  <w:footnote w:id="8">
    <w:p w14:paraId="1D8D991E" w14:textId="43684E3E" w:rsidR="795F8548" w:rsidRDefault="795F8548" w:rsidP="0051441C">
      <w:pPr>
        <w:pStyle w:val="FootnoteText"/>
      </w:pPr>
      <w:r w:rsidRPr="795F8548">
        <w:rPr>
          <w:rStyle w:val="FootnoteReference"/>
        </w:rPr>
        <w:footnoteRef/>
      </w:r>
      <w:r>
        <w:t xml:space="preserve"> For 2024/25, this self-certification will be expected at the </w:t>
      </w:r>
      <w:r w:rsidRPr="00AF6B53">
        <w:t xml:space="preserve">end of </w:t>
      </w:r>
      <w:r w:rsidR="00AF6B53">
        <w:t>Quarter 2</w:t>
      </w:r>
      <w:r>
        <w:t>. From 2025/26 onward, the annual self-certification will be required alongside each provider’s annual plans.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33B3" w14:textId="3333C538" w:rsidR="002B6276" w:rsidRDefault="000916D1">
    <w:pPr>
      <w:pStyle w:val="Header"/>
    </w:pPr>
    <w:r>
      <w:rPr>
        <w:noProof/>
      </w:rPr>
      <w:pict w14:anchorId="3AF710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75485" o:spid="_x0000_s1043" type="#_x0000_t136" style="position:absolute;margin-left:0;margin-top:0;width:629.15pt;height:66.2pt;rotation:315;z-index:-251658237;mso-position-horizontal:center;mso-position-horizontal-relative:margin;mso-position-vertical:center;mso-position-vertical-relative:margin" o:allowincell="f" fillcolor="silver" stroked="f">
          <v:fill opacity=".5"/>
          <v:textpath style="font-family:&quot;Arial&quot;;font-size:1pt" string="CONFIDENTIAL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A87F" w14:textId="3A99B901" w:rsidR="00F126B3" w:rsidRDefault="000916D1" w:rsidP="00F126B3">
    <w:pPr>
      <w:pStyle w:val="Header"/>
      <w:pBdr>
        <w:bottom w:val="none" w:sz="0" w:space="0" w:color="auto"/>
      </w:pBdr>
    </w:pPr>
    <w:r>
      <w:rPr>
        <w:noProof/>
      </w:rPr>
      <w:pict w14:anchorId="6BF53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75486" o:spid="_x0000_s1044" type="#_x0000_t136" style="position:absolute;margin-left:0;margin-top:0;width:629.15pt;height:66.2pt;rotation:315;z-index:-251658236;mso-position-horizontal:center;mso-position-horizontal-relative:margin;mso-position-vertical:center;mso-position-vertical-relative:margin" o:allowincell="f" fillcolor="silver" stroked="f">
          <v:fill opacity=".5"/>
          <v:textpath style="font-family:&quot;Arial&quot;;font-size:1pt" string="CONFIDENTIAL DRAFT"/>
          <w10:wrap anchorx="margin" anchory="margin"/>
        </v:shape>
      </w:pict>
    </w:r>
    <w:r w:rsidR="00F126B3" w:rsidRPr="00DD3B24">
      <w:rPr>
        <w:noProof/>
      </w:rPr>
      <w:drawing>
        <wp:anchor distT="0" distB="0" distL="114300" distR="114300" simplePos="0" relativeHeight="251658241" behindDoc="1" locked="1" layoutInCell="1" allowOverlap="0" wp14:anchorId="4ED29D56" wp14:editId="00EAD299">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310642398" name="Picture 1310642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AAEE316" w14:textId="5F66B066" w:rsidR="00F126B3" w:rsidRPr="00AC35F8" w:rsidRDefault="000916D1" w:rsidP="00F126B3">
    <w:pPr>
      <w:pStyle w:val="Header"/>
      <w:pBdr>
        <w:bottom w:val="single" w:sz="4" w:space="4" w:color="auto"/>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FB1D3B">
          <w:rPr>
            <w:sz w:val="24"/>
          </w:rPr>
          <w:t>DRAFT NHS Oversight and Assessment Framework (accessible version)</w:t>
        </w:r>
      </w:sdtContent>
    </w:sdt>
  </w:p>
  <w:p w14:paraId="724A7963" w14:textId="77777777" w:rsidR="00F25CC7" w:rsidRPr="00F126B3" w:rsidRDefault="00F25CC7" w:rsidP="008A3E2F">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60648828" w14:textId="77777777" w:rsidTr="00FC33C8">
      <w:trPr>
        <w:trHeight w:val="642"/>
      </w:trPr>
      <w:sdt>
        <w:sdtPr>
          <w:rPr>
            <w:color w:val="231F20" w:themeColor="background1"/>
          </w:rPr>
          <w:alias w:val="Protective Marking"/>
          <w:tag w:val="Protective Marking"/>
          <w:id w:val="-1097942897"/>
          <w:placeholder>
            <w:docPart w:val="C24EBE00981B8F4AB7E7825B7A7B4792"/>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487C375B" w14:textId="17358950" w:rsidR="00B72132" w:rsidRDefault="000916D1" w:rsidP="00B72132">
              <w:pPr>
                <w:pStyle w:val="Classification"/>
              </w:pPr>
              <w:r>
                <w:rPr>
                  <w:color w:val="231F20" w:themeColor="background1"/>
                </w:rPr>
                <w:t>Classification: Official</w:t>
              </w:r>
            </w:p>
          </w:tc>
        </w:sdtContent>
      </w:sdt>
    </w:tr>
  </w:tbl>
  <w:p w14:paraId="0BC8482B" w14:textId="50FD2A51" w:rsidR="00B72132" w:rsidRDefault="000916D1" w:rsidP="00B72132">
    <w:pPr>
      <w:pStyle w:val="Header"/>
      <w:pBdr>
        <w:bottom w:val="none" w:sz="0" w:space="0" w:color="auto"/>
      </w:pBdr>
    </w:pPr>
    <w:r>
      <w:rPr>
        <w:noProof/>
      </w:rPr>
      <w:pict w14:anchorId="020691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75484" o:spid="_x0000_s1045" type="#_x0000_t136" style="position:absolute;margin-left:0;margin-top:0;width:629.15pt;height:66.2pt;rotation:315;z-index:-251658238;mso-position-horizontal:center;mso-position-horizontal-relative:margin;mso-position-vertical:center;mso-position-vertical-relative:margin" o:allowincell="f" fillcolor="silver" stroked="f">
          <v:fill opacity=".5"/>
          <v:textpath style="font-family:&quot;Arial&quot;;font-size:1pt" string="CONFIDENTIAL DRAFT"/>
          <w10:wrap anchorx="margin" anchory="margin"/>
        </v:shape>
      </w:pict>
    </w:r>
    <w:r w:rsidR="00B72132">
      <w:rPr>
        <w:rFonts w:asciiTheme="minorHAnsi" w:hAnsiTheme="minorHAnsi"/>
        <w:b/>
        <w:bCs/>
        <w:noProof/>
        <w:lang w:eastAsia="en-GB"/>
      </w:rPr>
      <w:drawing>
        <wp:anchor distT="0" distB="0" distL="114300" distR="114300" simplePos="0" relativeHeight="251658240" behindDoc="1" locked="0" layoutInCell="1" allowOverlap="1" wp14:anchorId="4B9DEFB4" wp14:editId="0501A81C">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937665037" name="Picture 19376650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1D8540BC" w14:textId="77777777" w:rsidR="00B72132" w:rsidRDefault="00B72132" w:rsidP="00B72132">
    <w:pPr>
      <w:pStyle w:val="Header"/>
      <w:pBdr>
        <w:bottom w:val="none" w:sz="0" w:space="0" w:color="auto"/>
      </w:pBdr>
    </w:pPr>
  </w:p>
  <w:p w14:paraId="1C113F18" w14:textId="0B9A9309" w:rsidR="00B72132" w:rsidRPr="001D243C" w:rsidRDefault="00B72132" w:rsidP="00B72132">
    <w:pPr>
      <w:pStyle w:val="Header"/>
      <w:pBdr>
        <w:bottom w:val="none" w:sz="0" w:space="0" w:color="auto"/>
      </w:pBdr>
    </w:pPr>
  </w:p>
  <w:p w14:paraId="5CAE4A8B" w14:textId="77777777" w:rsidR="00B72132" w:rsidRPr="00B72132" w:rsidRDefault="00B72132" w:rsidP="00B72132">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CD17" w14:textId="65F929D9" w:rsidR="002B6276" w:rsidRDefault="000916D1">
    <w:pPr>
      <w:pStyle w:val="Header"/>
    </w:pPr>
    <w:r>
      <w:rPr>
        <w:noProof/>
      </w:rPr>
      <w:pict w14:anchorId="55923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75488" o:spid="_x0000_s1046" type="#_x0000_t136" style="position:absolute;margin-left:0;margin-top:0;width:629.15pt;height:66.2pt;rotation:315;z-index:-251658234;mso-position-horizontal:center;mso-position-horizontal-relative:margin;mso-position-vertical:center;mso-position-vertical-relative:margin" o:allowincell="f" fillcolor="silver" stroked="f">
          <v:fill opacity=".5"/>
          <v:textpath style="font-family:&quot;Arial&quot;;font-size:1pt" string="CONFIDENTIAL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E2BD" w14:textId="1AFBB120" w:rsidR="002B6276" w:rsidRDefault="000916D1">
    <w:pPr>
      <w:pStyle w:val="Header"/>
    </w:pPr>
    <w:r>
      <w:rPr>
        <w:noProof/>
      </w:rPr>
      <w:pict w14:anchorId="61692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75489" o:spid="_x0000_s1047" type="#_x0000_t136" style="position:absolute;margin-left:0;margin-top:0;width:629.15pt;height:66.2pt;rotation:315;z-index:-251658233;mso-position-horizontal:center;mso-position-horizontal-relative:margin;mso-position-vertical:center;mso-position-vertical-relative:margin" o:allowincell="f" fillcolor="silver" stroked="f">
          <v:fill opacity=".5"/>
          <v:textpath style="font-family:&quot;Arial&quot;;font-size:1pt" string="CONFIDENTIAL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7A42" w14:textId="52388355" w:rsidR="002B6276" w:rsidRDefault="000916D1">
    <w:pPr>
      <w:pStyle w:val="Header"/>
    </w:pPr>
    <w:r>
      <w:rPr>
        <w:noProof/>
      </w:rPr>
      <w:pict w14:anchorId="3A831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75487" o:spid="_x0000_s1048" type="#_x0000_t136" style="position:absolute;margin-left:0;margin-top:0;width:629.15pt;height:66.2pt;rotation:315;z-index:-251658235;mso-position-horizontal:center;mso-position-horizontal-relative:margin;mso-position-vertical:center;mso-position-vertical-relative:margin" o:allowincell="f" fillcolor="silver" stroked="f">
          <v:fill opacity=".5"/>
          <v:textpath style="font-family:&quot;Arial&quot;;font-size:1pt" string="CONFIDENTIAL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AED3" w14:textId="31E964F4" w:rsidR="002B6276" w:rsidRDefault="000916D1">
    <w:pPr>
      <w:pStyle w:val="Header"/>
    </w:pPr>
    <w:r>
      <w:rPr>
        <w:noProof/>
      </w:rPr>
      <w:pict w14:anchorId="18272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75491" o:spid="_x0000_s1049" type="#_x0000_t136" style="position:absolute;margin-left:0;margin-top:0;width:629.15pt;height:66.2pt;rotation:315;z-index:-251658231;mso-position-horizontal:center;mso-position-horizontal-relative:margin;mso-position-vertical:center;mso-position-vertical-relative:margin" o:allowincell="f" fillcolor="silver" stroked="f">
          <v:fill opacity=".5"/>
          <v:textpath style="font-family:&quot;Arial&quot;;font-size:1pt" string="CONFIDENTIAL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E3D7" w14:textId="3073757F" w:rsidR="002B6276" w:rsidRDefault="000916D1">
    <w:pPr>
      <w:pStyle w:val="Header"/>
    </w:pPr>
    <w:r>
      <w:rPr>
        <w:noProof/>
      </w:rPr>
      <w:pict w14:anchorId="187DE2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75492" o:spid="_x0000_s1050" type="#_x0000_t136" style="position:absolute;margin-left:0;margin-top:0;width:629.15pt;height:66.2pt;rotation:315;z-index:-251658230;mso-position-horizontal:center;mso-position-horizontal-relative:margin;mso-position-vertical:center;mso-position-vertical-relative:margin" o:allowincell="f" fillcolor="silver" stroked="f">
          <v:fill opacity=".5"/>
          <v:textpath style="font-family:&quot;Arial&quot;;font-size:1pt" string="CONFIDENTIAL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BF5F" w14:textId="02246C14" w:rsidR="00F126B3" w:rsidRDefault="000916D1" w:rsidP="00F126B3">
    <w:pPr>
      <w:pStyle w:val="Header"/>
      <w:pBdr>
        <w:bottom w:val="none" w:sz="0" w:space="0" w:color="auto"/>
      </w:pBdr>
    </w:pPr>
    <w:r>
      <w:rPr>
        <w:noProof/>
      </w:rPr>
      <w:pict w14:anchorId="495FF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75490" o:spid="_x0000_s1051" type="#_x0000_t136" style="position:absolute;margin-left:0;margin-top:0;width:629.15pt;height:66.2pt;rotation:315;z-index:-251658232;mso-position-horizontal:center;mso-position-horizontal-relative:margin;mso-position-vertical:center;mso-position-vertical-relative:margin" o:allowincell="f" fillcolor="silver" stroked="f">
          <v:fill opacity=".5"/>
          <v:textpath style="font-family:&quot;Arial&quot;;font-size:1pt" string="CONFIDENTIAL DRAFT"/>
          <w10:wrap anchorx="margin" anchory="margin"/>
        </v:shape>
      </w:pict>
    </w:r>
    <w:r w:rsidR="00F126B3" w:rsidRPr="00DD3B24">
      <w:rPr>
        <w:noProof/>
      </w:rPr>
      <w:drawing>
        <wp:anchor distT="0" distB="0" distL="114300" distR="114300" simplePos="0" relativeHeight="251658251" behindDoc="1" locked="1" layoutInCell="1" allowOverlap="0" wp14:anchorId="3A3DB118" wp14:editId="6BBFB943">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852756619" name="Picture 18527566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8AA960C" w14:textId="2C032A56" w:rsidR="00F126B3" w:rsidRPr="009F3A1D" w:rsidRDefault="000916D1" w:rsidP="00F126B3">
    <w:pPr>
      <w:pStyle w:val="Header"/>
      <w:pBdr>
        <w:bottom w:val="single" w:sz="4" w:space="4" w:color="auto"/>
      </w:pBdr>
      <w:rPr>
        <w:sz w:val="24"/>
      </w:rPr>
    </w:pPr>
    <w:sdt>
      <w:sdtPr>
        <w:alias w:val="Title"/>
        <w:tag w:val="title"/>
        <w:id w:val="-644359137"/>
        <w:placeholder>
          <w:docPart w:val="C24EBE00981B8F4AB7E7825B7A7B4792"/>
        </w:placeholder>
        <w:dataBinding w:prefixMappings="xmlns:ns0='http://purl.org/dc/elements/1.1/' xmlns:ns1='http://schemas.openxmlformats.org/package/2006/metadata/core-properties' " w:xpath="/ns1:coreProperties[1]/ns0:title[1]" w:storeItemID="{6C3C8BC8-F283-45AE-878A-BAB7291924A1}"/>
        <w:text/>
      </w:sdtPr>
      <w:sdtEndPr/>
      <w:sdtContent>
        <w:r w:rsidR="00FB1D3B">
          <w:t>DRAFT NHS Oversight and Assessment Framework (accessible version)</w:t>
        </w:r>
      </w:sdtContent>
    </w:sdt>
  </w:p>
  <w:p w14:paraId="534B31D6"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25469"/>
    <w:multiLevelType w:val="multilevel"/>
    <w:tmpl w:val="2108A41C"/>
    <w:lvl w:ilvl="0">
      <w:start w:val="1"/>
      <w:numFmt w:val="none"/>
      <w:suff w:val="nothing"/>
      <w:lvlText w:val=""/>
      <w:lvlJc w:val="left"/>
      <w:pPr>
        <w:ind w:left="0" w:firstLine="0"/>
      </w:pPr>
      <w:rPr>
        <w:rFonts w:hint="default"/>
      </w:rPr>
    </w:lvl>
    <w:lvl w:ilvl="1">
      <w:start w:val="5"/>
      <w:numFmt w:val="decimal"/>
      <w:lvlText w:val="%2."/>
      <w:lvlJc w:val="left"/>
      <w:pPr>
        <w:tabs>
          <w:tab w:val="num" w:pos="567"/>
        </w:tabs>
        <w:ind w:left="567" w:hanging="567"/>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E27AB2"/>
    <w:multiLevelType w:val="hybridMultilevel"/>
    <w:tmpl w:val="7EC84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82B38"/>
    <w:multiLevelType w:val="hybridMultilevel"/>
    <w:tmpl w:val="6A84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F415D"/>
    <w:multiLevelType w:val="hybridMultilevel"/>
    <w:tmpl w:val="E37C9ADE"/>
    <w:lvl w:ilvl="0" w:tplc="08090001">
      <w:start w:val="1"/>
      <w:numFmt w:val="bullet"/>
      <w:lvlText w:val=""/>
      <w:lvlJc w:val="left"/>
      <w:pPr>
        <w:ind w:left="1970" w:hanging="360"/>
      </w:pPr>
      <w:rPr>
        <w:rFonts w:ascii="Symbol" w:hAnsi="Symbol" w:hint="default"/>
      </w:rPr>
    </w:lvl>
    <w:lvl w:ilvl="1" w:tplc="08090003" w:tentative="1">
      <w:start w:val="1"/>
      <w:numFmt w:val="bullet"/>
      <w:lvlText w:val="o"/>
      <w:lvlJc w:val="left"/>
      <w:pPr>
        <w:ind w:left="2690" w:hanging="360"/>
      </w:pPr>
      <w:rPr>
        <w:rFonts w:ascii="Courier New" w:hAnsi="Courier New" w:cs="Courier New" w:hint="default"/>
      </w:rPr>
    </w:lvl>
    <w:lvl w:ilvl="2" w:tplc="08090005" w:tentative="1">
      <w:start w:val="1"/>
      <w:numFmt w:val="bullet"/>
      <w:lvlText w:val=""/>
      <w:lvlJc w:val="left"/>
      <w:pPr>
        <w:ind w:left="3410" w:hanging="360"/>
      </w:pPr>
      <w:rPr>
        <w:rFonts w:ascii="Wingdings" w:hAnsi="Wingdings" w:hint="default"/>
      </w:rPr>
    </w:lvl>
    <w:lvl w:ilvl="3" w:tplc="08090001" w:tentative="1">
      <w:start w:val="1"/>
      <w:numFmt w:val="bullet"/>
      <w:lvlText w:val=""/>
      <w:lvlJc w:val="left"/>
      <w:pPr>
        <w:ind w:left="4130" w:hanging="360"/>
      </w:pPr>
      <w:rPr>
        <w:rFonts w:ascii="Symbol" w:hAnsi="Symbol" w:hint="default"/>
      </w:rPr>
    </w:lvl>
    <w:lvl w:ilvl="4" w:tplc="08090003" w:tentative="1">
      <w:start w:val="1"/>
      <w:numFmt w:val="bullet"/>
      <w:lvlText w:val="o"/>
      <w:lvlJc w:val="left"/>
      <w:pPr>
        <w:ind w:left="4850" w:hanging="360"/>
      </w:pPr>
      <w:rPr>
        <w:rFonts w:ascii="Courier New" w:hAnsi="Courier New" w:cs="Courier New" w:hint="default"/>
      </w:rPr>
    </w:lvl>
    <w:lvl w:ilvl="5" w:tplc="08090005" w:tentative="1">
      <w:start w:val="1"/>
      <w:numFmt w:val="bullet"/>
      <w:lvlText w:val=""/>
      <w:lvlJc w:val="left"/>
      <w:pPr>
        <w:ind w:left="5570" w:hanging="360"/>
      </w:pPr>
      <w:rPr>
        <w:rFonts w:ascii="Wingdings" w:hAnsi="Wingdings" w:hint="default"/>
      </w:rPr>
    </w:lvl>
    <w:lvl w:ilvl="6" w:tplc="08090001" w:tentative="1">
      <w:start w:val="1"/>
      <w:numFmt w:val="bullet"/>
      <w:lvlText w:val=""/>
      <w:lvlJc w:val="left"/>
      <w:pPr>
        <w:ind w:left="6290" w:hanging="360"/>
      </w:pPr>
      <w:rPr>
        <w:rFonts w:ascii="Symbol" w:hAnsi="Symbol" w:hint="default"/>
      </w:rPr>
    </w:lvl>
    <w:lvl w:ilvl="7" w:tplc="08090003" w:tentative="1">
      <w:start w:val="1"/>
      <w:numFmt w:val="bullet"/>
      <w:lvlText w:val="o"/>
      <w:lvlJc w:val="left"/>
      <w:pPr>
        <w:ind w:left="7010" w:hanging="360"/>
      </w:pPr>
      <w:rPr>
        <w:rFonts w:ascii="Courier New" w:hAnsi="Courier New" w:cs="Courier New" w:hint="default"/>
      </w:rPr>
    </w:lvl>
    <w:lvl w:ilvl="8" w:tplc="08090005" w:tentative="1">
      <w:start w:val="1"/>
      <w:numFmt w:val="bullet"/>
      <w:lvlText w:val=""/>
      <w:lvlJc w:val="left"/>
      <w:pPr>
        <w:ind w:left="7730" w:hanging="360"/>
      </w:pPr>
      <w:rPr>
        <w:rFonts w:ascii="Wingdings" w:hAnsi="Wingdings" w:hint="default"/>
      </w:rPr>
    </w:lvl>
  </w:abstractNum>
  <w:abstractNum w:abstractNumId="5" w15:restartNumberingAfterBreak="0">
    <w:nsid w:val="10554D89"/>
    <w:multiLevelType w:val="hybridMultilevel"/>
    <w:tmpl w:val="C50E2A7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A75E37"/>
    <w:multiLevelType w:val="hybridMultilevel"/>
    <w:tmpl w:val="1A1E67E2"/>
    <w:lvl w:ilvl="0" w:tplc="B6288E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73CE0"/>
    <w:multiLevelType w:val="hybridMultilevel"/>
    <w:tmpl w:val="49E4264C"/>
    <w:lvl w:ilvl="0" w:tplc="A0F444B2">
      <w:start w:val="1"/>
      <w:numFmt w:val="bullet"/>
      <w:lvlText w:val="•"/>
      <w:lvlJc w:val="left"/>
      <w:pPr>
        <w:tabs>
          <w:tab w:val="num" w:pos="720"/>
        </w:tabs>
        <w:ind w:left="720" w:hanging="360"/>
      </w:pPr>
      <w:rPr>
        <w:rFonts w:ascii="Arial" w:hAnsi="Arial" w:hint="default"/>
      </w:rPr>
    </w:lvl>
    <w:lvl w:ilvl="1" w:tplc="C73824FA" w:tentative="1">
      <w:start w:val="1"/>
      <w:numFmt w:val="bullet"/>
      <w:lvlText w:val="•"/>
      <w:lvlJc w:val="left"/>
      <w:pPr>
        <w:tabs>
          <w:tab w:val="num" w:pos="1440"/>
        </w:tabs>
        <w:ind w:left="1440" w:hanging="360"/>
      </w:pPr>
      <w:rPr>
        <w:rFonts w:ascii="Arial" w:hAnsi="Arial" w:hint="default"/>
      </w:rPr>
    </w:lvl>
    <w:lvl w:ilvl="2" w:tplc="FF1C6E9E" w:tentative="1">
      <w:start w:val="1"/>
      <w:numFmt w:val="bullet"/>
      <w:lvlText w:val="•"/>
      <w:lvlJc w:val="left"/>
      <w:pPr>
        <w:tabs>
          <w:tab w:val="num" w:pos="2160"/>
        </w:tabs>
        <w:ind w:left="2160" w:hanging="360"/>
      </w:pPr>
      <w:rPr>
        <w:rFonts w:ascii="Arial" w:hAnsi="Arial" w:hint="default"/>
      </w:rPr>
    </w:lvl>
    <w:lvl w:ilvl="3" w:tplc="FC6C7378" w:tentative="1">
      <w:start w:val="1"/>
      <w:numFmt w:val="bullet"/>
      <w:lvlText w:val="•"/>
      <w:lvlJc w:val="left"/>
      <w:pPr>
        <w:tabs>
          <w:tab w:val="num" w:pos="2880"/>
        </w:tabs>
        <w:ind w:left="2880" w:hanging="360"/>
      </w:pPr>
      <w:rPr>
        <w:rFonts w:ascii="Arial" w:hAnsi="Arial" w:hint="default"/>
      </w:rPr>
    </w:lvl>
    <w:lvl w:ilvl="4" w:tplc="445C0A64" w:tentative="1">
      <w:start w:val="1"/>
      <w:numFmt w:val="bullet"/>
      <w:lvlText w:val="•"/>
      <w:lvlJc w:val="left"/>
      <w:pPr>
        <w:tabs>
          <w:tab w:val="num" w:pos="3600"/>
        </w:tabs>
        <w:ind w:left="3600" w:hanging="360"/>
      </w:pPr>
      <w:rPr>
        <w:rFonts w:ascii="Arial" w:hAnsi="Arial" w:hint="default"/>
      </w:rPr>
    </w:lvl>
    <w:lvl w:ilvl="5" w:tplc="F2A8AA68" w:tentative="1">
      <w:start w:val="1"/>
      <w:numFmt w:val="bullet"/>
      <w:lvlText w:val="•"/>
      <w:lvlJc w:val="left"/>
      <w:pPr>
        <w:tabs>
          <w:tab w:val="num" w:pos="4320"/>
        </w:tabs>
        <w:ind w:left="4320" w:hanging="360"/>
      </w:pPr>
      <w:rPr>
        <w:rFonts w:ascii="Arial" w:hAnsi="Arial" w:hint="default"/>
      </w:rPr>
    </w:lvl>
    <w:lvl w:ilvl="6" w:tplc="F8687834" w:tentative="1">
      <w:start w:val="1"/>
      <w:numFmt w:val="bullet"/>
      <w:lvlText w:val="•"/>
      <w:lvlJc w:val="left"/>
      <w:pPr>
        <w:tabs>
          <w:tab w:val="num" w:pos="5040"/>
        </w:tabs>
        <w:ind w:left="5040" w:hanging="360"/>
      </w:pPr>
      <w:rPr>
        <w:rFonts w:ascii="Arial" w:hAnsi="Arial" w:hint="default"/>
      </w:rPr>
    </w:lvl>
    <w:lvl w:ilvl="7" w:tplc="D8ACD724" w:tentative="1">
      <w:start w:val="1"/>
      <w:numFmt w:val="bullet"/>
      <w:lvlText w:val="•"/>
      <w:lvlJc w:val="left"/>
      <w:pPr>
        <w:tabs>
          <w:tab w:val="num" w:pos="5760"/>
        </w:tabs>
        <w:ind w:left="5760" w:hanging="360"/>
      </w:pPr>
      <w:rPr>
        <w:rFonts w:ascii="Arial" w:hAnsi="Arial" w:hint="default"/>
      </w:rPr>
    </w:lvl>
    <w:lvl w:ilvl="8" w:tplc="40E03C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1A7362"/>
    <w:multiLevelType w:val="multilevel"/>
    <w:tmpl w:val="304A0A88"/>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lowerLetter"/>
      <w:lvlText w:val="%6."/>
      <w:lvlJc w:val="left"/>
      <w:pPr>
        <w:ind w:left="927" w:hanging="360"/>
      </w:p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E01210"/>
    <w:multiLevelType w:val="hybridMultilevel"/>
    <w:tmpl w:val="C0F2911E"/>
    <w:lvl w:ilvl="0" w:tplc="08090001">
      <w:start w:val="1"/>
      <w:numFmt w:val="bullet"/>
      <w:lvlText w:val=""/>
      <w:lvlJc w:val="left"/>
      <w:pPr>
        <w:ind w:left="890" w:hanging="360"/>
      </w:pPr>
      <w:rPr>
        <w:rFonts w:ascii="Symbol" w:hAnsi="Symbol" w:hint="default"/>
      </w:rPr>
    </w:lvl>
    <w:lvl w:ilvl="1" w:tplc="2B32986E">
      <w:numFmt w:val="bullet"/>
      <w:lvlText w:val="•"/>
      <w:lvlJc w:val="left"/>
      <w:pPr>
        <w:ind w:left="1922" w:hanging="672"/>
      </w:pPr>
      <w:rPr>
        <w:rFonts w:ascii="Calibri" w:eastAsiaTheme="minorHAnsi" w:hAnsi="Calibri" w:cs="Calibri"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3582A69"/>
    <w:multiLevelType w:val="hybridMultilevel"/>
    <w:tmpl w:val="4430606A"/>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4D2D16"/>
    <w:multiLevelType w:val="hybridMultilevel"/>
    <w:tmpl w:val="9D3A3700"/>
    <w:lvl w:ilvl="0" w:tplc="1DB654CA">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3773E"/>
    <w:multiLevelType w:val="hybridMultilevel"/>
    <w:tmpl w:val="CD62DC76"/>
    <w:lvl w:ilvl="0" w:tplc="180ABC06">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3" w15:restartNumberingAfterBreak="0">
    <w:nsid w:val="2AFB2C59"/>
    <w:multiLevelType w:val="hybridMultilevel"/>
    <w:tmpl w:val="E6AE2C2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AC27FB"/>
    <w:multiLevelType w:val="hybridMultilevel"/>
    <w:tmpl w:val="FA4CD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969E3"/>
    <w:multiLevelType w:val="multilevel"/>
    <w:tmpl w:val="6272489A"/>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lowerLetter"/>
      <w:pStyle w:val="bodytextnumbered11"/>
      <w:lvlText w:val="%6."/>
      <w:lvlJc w:val="left"/>
      <w:pPr>
        <w:ind w:left="927" w:hanging="360"/>
      </w:pPr>
      <w:rPr>
        <w:rFonts w:hint="default"/>
      </w:rPr>
    </w:lvl>
    <w:lvl w:ilvl="6">
      <w:start w:val="1"/>
      <w:numFmt w:val="bullet"/>
      <w:pStyle w:val="bodytextnumbered111"/>
      <w:lvlText w:val="o"/>
      <w:lvlJc w:val="left"/>
      <w:pPr>
        <w:ind w:left="1551" w:hanging="360"/>
      </w:pPr>
      <w:rPr>
        <w:rFonts w:ascii="Courier New" w:hAnsi="Courier New" w:cs="Courier New"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FB3B9F"/>
    <w:multiLevelType w:val="hybridMultilevel"/>
    <w:tmpl w:val="1562BE9E"/>
    <w:lvl w:ilvl="0" w:tplc="4AEA4D64">
      <w:start w:val="1"/>
      <w:numFmt w:val="bullet"/>
      <w:lvlText w:val="•"/>
      <w:lvlJc w:val="left"/>
      <w:pPr>
        <w:tabs>
          <w:tab w:val="num" w:pos="720"/>
        </w:tabs>
        <w:ind w:left="720" w:hanging="360"/>
      </w:pPr>
      <w:rPr>
        <w:rFonts w:ascii="Arial" w:hAnsi="Arial" w:hint="default"/>
      </w:rPr>
    </w:lvl>
    <w:lvl w:ilvl="1" w:tplc="77127B04" w:tentative="1">
      <w:start w:val="1"/>
      <w:numFmt w:val="bullet"/>
      <w:lvlText w:val="•"/>
      <w:lvlJc w:val="left"/>
      <w:pPr>
        <w:tabs>
          <w:tab w:val="num" w:pos="1440"/>
        </w:tabs>
        <w:ind w:left="1440" w:hanging="360"/>
      </w:pPr>
      <w:rPr>
        <w:rFonts w:ascii="Arial" w:hAnsi="Arial" w:hint="default"/>
      </w:rPr>
    </w:lvl>
    <w:lvl w:ilvl="2" w:tplc="C65404C6" w:tentative="1">
      <w:start w:val="1"/>
      <w:numFmt w:val="bullet"/>
      <w:lvlText w:val="•"/>
      <w:lvlJc w:val="left"/>
      <w:pPr>
        <w:tabs>
          <w:tab w:val="num" w:pos="2160"/>
        </w:tabs>
        <w:ind w:left="2160" w:hanging="360"/>
      </w:pPr>
      <w:rPr>
        <w:rFonts w:ascii="Arial" w:hAnsi="Arial" w:hint="default"/>
      </w:rPr>
    </w:lvl>
    <w:lvl w:ilvl="3" w:tplc="70EEE5BA" w:tentative="1">
      <w:start w:val="1"/>
      <w:numFmt w:val="bullet"/>
      <w:lvlText w:val="•"/>
      <w:lvlJc w:val="left"/>
      <w:pPr>
        <w:tabs>
          <w:tab w:val="num" w:pos="2880"/>
        </w:tabs>
        <w:ind w:left="2880" w:hanging="360"/>
      </w:pPr>
      <w:rPr>
        <w:rFonts w:ascii="Arial" w:hAnsi="Arial" w:hint="default"/>
      </w:rPr>
    </w:lvl>
    <w:lvl w:ilvl="4" w:tplc="9118C4F8" w:tentative="1">
      <w:start w:val="1"/>
      <w:numFmt w:val="bullet"/>
      <w:lvlText w:val="•"/>
      <w:lvlJc w:val="left"/>
      <w:pPr>
        <w:tabs>
          <w:tab w:val="num" w:pos="3600"/>
        </w:tabs>
        <w:ind w:left="3600" w:hanging="360"/>
      </w:pPr>
      <w:rPr>
        <w:rFonts w:ascii="Arial" w:hAnsi="Arial" w:hint="default"/>
      </w:rPr>
    </w:lvl>
    <w:lvl w:ilvl="5" w:tplc="FE884EC8" w:tentative="1">
      <w:start w:val="1"/>
      <w:numFmt w:val="bullet"/>
      <w:lvlText w:val="•"/>
      <w:lvlJc w:val="left"/>
      <w:pPr>
        <w:tabs>
          <w:tab w:val="num" w:pos="4320"/>
        </w:tabs>
        <w:ind w:left="4320" w:hanging="360"/>
      </w:pPr>
      <w:rPr>
        <w:rFonts w:ascii="Arial" w:hAnsi="Arial" w:hint="default"/>
      </w:rPr>
    </w:lvl>
    <w:lvl w:ilvl="6" w:tplc="CB227304" w:tentative="1">
      <w:start w:val="1"/>
      <w:numFmt w:val="bullet"/>
      <w:lvlText w:val="•"/>
      <w:lvlJc w:val="left"/>
      <w:pPr>
        <w:tabs>
          <w:tab w:val="num" w:pos="5040"/>
        </w:tabs>
        <w:ind w:left="5040" w:hanging="360"/>
      </w:pPr>
      <w:rPr>
        <w:rFonts w:ascii="Arial" w:hAnsi="Arial" w:hint="default"/>
      </w:rPr>
    </w:lvl>
    <w:lvl w:ilvl="7" w:tplc="C1B018F2" w:tentative="1">
      <w:start w:val="1"/>
      <w:numFmt w:val="bullet"/>
      <w:lvlText w:val="•"/>
      <w:lvlJc w:val="left"/>
      <w:pPr>
        <w:tabs>
          <w:tab w:val="num" w:pos="5760"/>
        </w:tabs>
        <w:ind w:left="5760" w:hanging="360"/>
      </w:pPr>
      <w:rPr>
        <w:rFonts w:ascii="Arial" w:hAnsi="Arial" w:hint="default"/>
      </w:rPr>
    </w:lvl>
    <w:lvl w:ilvl="8" w:tplc="733E788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C7655B"/>
    <w:multiLevelType w:val="hybridMultilevel"/>
    <w:tmpl w:val="3FE23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9F0B0F"/>
    <w:multiLevelType w:val="hybridMultilevel"/>
    <w:tmpl w:val="DE6E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755E7"/>
    <w:multiLevelType w:val="hybridMultilevel"/>
    <w:tmpl w:val="7AC08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B7D5A"/>
    <w:multiLevelType w:val="hybridMultilevel"/>
    <w:tmpl w:val="55728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43825"/>
    <w:multiLevelType w:val="hybridMultilevel"/>
    <w:tmpl w:val="86BE9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C865FD"/>
    <w:multiLevelType w:val="hybridMultilevel"/>
    <w:tmpl w:val="A950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D7AB9"/>
    <w:multiLevelType w:val="hybridMultilevel"/>
    <w:tmpl w:val="6E52B884"/>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51C1009"/>
    <w:multiLevelType w:val="hybridMultilevel"/>
    <w:tmpl w:val="9F44675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5436ED0"/>
    <w:multiLevelType w:val="hybridMultilevel"/>
    <w:tmpl w:val="FF0AE4D4"/>
    <w:lvl w:ilvl="0" w:tplc="54886D20">
      <w:start w:val="1"/>
      <w:numFmt w:val="bullet"/>
      <w:lvlText w:val="•"/>
      <w:lvlJc w:val="left"/>
      <w:pPr>
        <w:tabs>
          <w:tab w:val="num" w:pos="720"/>
        </w:tabs>
        <w:ind w:left="720" w:hanging="360"/>
      </w:pPr>
      <w:rPr>
        <w:rFonts w:ascii="Arial" w:hAnsi="Arial" w:hint="default"/>
      </w:rPr>
    </w:lvl>
    <w:lvl w:ilvl="1" w:tplc="BDA28DDC" w:tentative="1">
      <w:start w:val="1"/>
      <w:numFmt w:val="bullet"/>
      <w:lvlText w:val="•"/>
      <w:lvlJc w:val="left"/>
      <w:pPr>
        <w:tabs>
          <w:tab w:val="num" w:pos="1440"/>
        </w:tabs>
        <w:ind w:left="1440" w:hanging="360"/>
      </w:pPr>
      <w:rPr>
        <w:rFonts w:ascii="Arial" w:hAnsi="Arial" w:hint="default"/>
      </w:rPr>
    </w:lvl>
    <w:lvl w:ilvl="2" w:tplc="BF7EF84C" w:tentative="1">
      <w:start w:val="1"/>
      <w:numFmt w:val="bullet"/>
      <w:lvlText w:val="•"/>
      <w:lvlJc w:val="left"/>
      <w:pPr>
        <w:tabs>
          <w:tab w:val="num" w:pos="2160"/>
        </w:tabs>
        <w:ind w:left="2160" w:hanging="360"/>
      </w:pPr>
      <w:rPr>
        <w:rFonts w:ascii="Arial" w:hAnsi="Arial" w:hint="default"/>
      </w:rPr>
    </w:lvl>
    <w:lvl w:ilvl="3" w:tplc="FE128FC8" w:tentative="1">
      <w:start w:val="1"/>
      <w:numFmt w:val="bullet"/>
      <w:lvlText w:val="•"/>
      <w:lvlJc w:val="left"/>
      <w:pPr>
        <w:tabs>
          <w:tab w:val="num" w:pos="2880"/>
        </w:tabs>
        <w:ind w:left="2880" w:hanging="360"/>
      </w:pPr>
      <w:rPr>
        <w:rFonts w:ascii="Arial" w:hAnsi="Arial" w:hint="default"/>
      </w:rPr>
    </w:lvl>
    <w:lvl w:ilvl="4" w:tplc="558AE5A4" w:tentative="1">
      <w:start w:val="1"/>
      <w:numFmt w:val="bullet"/>
      <w:lvlText w:val="•"/>
      <w:lvlJc w:val="left"/>
      <w:pPr>
        <w:tabs>
          <w:tab w:val="num" w:pos="3600"/>
        </w:tabs>
        <w:ind w:left="3600" w:hanging="360"/>
      </w:pPr>
      <w:rPr>
        <w:rFonts w:ascii="Arial" w:hAnsi="Arial" w:hint="default"/>
      </w:rPr>
    </w:lvl>
    <w:lvl w:ilvl="5" w:tplc="6CBE2426" w:tentative="1">
      <w:start w:val="1"/>
      <w:numFmt w:val="bullet"/>
      <w:lvlText w:val="•"/>
      <w:lvlJc w:val="left"/>
      <w:pPr>
        <w:tabs>
          <w:tab w:val="num" w:pos="4320"/>
        </w:tabs>
        <w:ind w:left="4320" w:hanging="360"/>
      </w:pPr>
      <w:rPr>
        <w:rFonts w:ascii="Arial" w:hAnsi="Arial" w:hint="default"/>
      </w:rPr>
    </w:lvl>
    <w:lvl w:ilvl="6" w:tplc="4C5CC2E4" w:tentative="1">
      <w:start w:val="1"/>
      <w:numFmt w:val="bullet"/>
      <w:lvlText w:val="•"/>
      <w:lvlJc w:val="left"/>
      <w:pPr>
        <w:tabs>
          <w:tab w:val="num" w:pos="5040"/>
        </w:tabs>
        <w:ind w:left="5040" w:hanging="360"/>
      </w:pPr>
      <w:rPr>
        <w:rFonts w:ascii="Arial" w:hAnsi="Arial" w:hint="default"/>
      </w:rPr>
    </w:lvl>
    <w:lvl w:ilvl="7" w:tplc="187EF170" w:tentative="1">
      <w:start w:val="1"/>
      <w:numFmt w:val="bullet"/>
      <w:lvlText w:val="•"/>
      <w:lvlJc w:val="left"/>
      <w:pPr>
        <w:tabs>
          <w:tab w:val="num" w:pos="5760"/>
        </w:tabs>
        <w:ind w:left="5760" w:hanging="360"/>
      </w:pPr>
      <w:rPr>
        <w:rFonts w:ascii="Arial" w:hAnsi="Arial" w:hint="default"/>
      </w:rPr>
    </w:lvl>
    <w:lvl w:ilvl="8" w:tplc="E3385FB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BA341A"/>
    <w:multiLevelType w:val="hybridMultilevel"/>
    <w:tmpl w:val="31E45554"/>
    <w:lvl w:ilvl="0" w:tplc="2670D9E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BD7919"/>
    <w:multiLevelType w:val="hybridMultilevel"/>
    <w:tmpl w:val="2D1E1CB0"/>
    <w:lvl w:ilvl="0" w:tplc="078A99AC">
      <w:start w:val="1"/>
      <w:numFmt w:val="decimal"/>
      <w:pStyle w:val="Numberedlist"/>
      <w:lvlText w:val="%1."/>
      <w:lvlJc w:val="left"/>
      <w:pPr>
        <w:ind w:left="3195"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6288E9E">
      <w:start w:val="1"/>
      <w:numFmt w:val="lowerLetter"/>
      <w:lvlText w:val="%5."/>
      <w:lvlJc w:val="left"/>
      <w:pPr>
        <w:ind w:left="3600" w:hanging="360"/>
      </w:pPr>
      <w:rPr>
        <w:rFonts w:hint="default"/>
      </w:r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88F5EF8"/>
    <w:multiLevelType w:val="hybridMultilevel"/>
    <w:tmpl w:val="5E4A92F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A781326"/>
    <w:multiLevelType w:val="hybridMultilevel"/>
    <w:tmpl w:val="BC361336"/>
    <w:lvl w:ilvl="0" w:tplc="78F48EAA">
      <w:start w:val="1"/>
      <w:numFmt w:val="bullet"/>
      <w:lvlText w:val="•"/>
      <w:lvlJc w:val="left"/>
      <w:pPr>
        <w:tabs>
          <w:tab w:val="num" w:pos="720"/>
        </w:tabs>
        <w:ind w:left="720" w:hanging="360"/>
      </w:pPr>
      <w:rPr>
        <w:rFonts w:ascii="Arial" w:hAnsi="Arial" w:hint="default"/>
      </w:rPr>
    </w:lvl>
    <w:lvl w:ilvl="1" w:tplc="84820140" w:tentative="1">
      <w:start w:val="1"/>
      <w:numFmt w:val="bullet"/>
      <w:lvlText w:val="•"/>
      <w:lvlJc w:val="left"/>
      <w:pPr>
        <w:tabs>
          <w:tab w:val="num" w:pos="1440"/>
        </w:tabs>
        <w:ind w:left="1440" w:hanging="360"/>
      </w:pPr>
      <w:rPr>
        <w:rFonts w:ascii="Arial" w:hAnsi="Arial" w:hint="default"/>
      </w:rPr>
    </w:lvl>
    <w:lvl w:ilvl="2" w:tplc="5D420248" w:tentative="1">
      <w:start w:val="1"/>
      <w:numFmt w:val="bullet"/>
      <w:lvlText w:val="•"/>
      <w:lvlJc w:val="left"/>
      <w:pPr>
        <w:tabs>
          <w:tab w:val="num" w:pos="2160"/>
        </w:tabs>
        <w:ind w:left="2160" w:hanging="360"/>
      </w:pPr>
      <w:rPr>
        <w:rFonts w:ascii="Arial" w:hAnsi="Arial" w:hint="default"/>
      </w:rPr>
    </w:lvl>
    <w:lvl w:ilvl="3" w:tplc="032CEFFE" w:tentative="1">
      <w:start w:val="1"/>
      <w:numFmt w:val="bullet"/>
      <w:lvlText w:val="•"/>
      <w:lvlJc w:val="left"/>
      <w:pPr>
        <w:tabs>
          <w:tab w:val="num" w:pos="2880"/>
        </w:tabs>
        <w:ind w:left="2880" w:hanging="360"/>
      </w:pPr>
      <w:rPr>
        <w:rFonts w:ascii="Arial" w:hAnsi="Arial" w:hint="default"/>
      </w:rPr>
    </w:lvl>
    <w:lvl w:ilvl="4" w:tplc="8038872A" w:tentative="1">
      <w:start w:val="1"/>
      <w:numFmt w:val="bullet"/>
      <w:lvlText w:val="•"/>
      <w:lvlJc w:val="left"/>
      <w:pPr>
        <w:tabs>
          <w:tab w:val="num" w:pos="3600"/>
        </w:tabs>
        <w:ind w:left="3600" w:hanging="360"/>
      </w:pPr>
      <w:rPr>
        <w:rFonts w:ascii="Arial" w:hAnsi="Arial" w:hint="default"/>
      </w:rPr>
    </w:lvl>
    <w:lvl w:ilvl="5" w:tplc="F20A0932" w:tentative="1">
      <w:start w:val="1"/>
      <w:numFmt w:val="bullet"/>
      <w:lvlText w:val="•"/>
      <w:lvlJc w:val="left"/>
      <w:pPr>
        <w:tabs>
          <w:tab w:val="num" w:pos="4320"/>
        </w:tabs>
        <w:ind w:left="4320" w:hanging="360"/>
      </w:pPr>
      <w:rPr>
        <w:rFonts w:ascii="Arial" w:hAnsi="Arial" w:hint="default"/>
      </w:rPr>
    </w:lvl>
    <w:lvl w:ilvl="6" w:tplc="FC0E2EC6" w:tentative="1">
      <w:start w:val="1"/>
      <w:numFmt w:val="bullet"/>
      <w:lvlText w:val="•"/>
      <w:lvlJc w:val="left"/>
      <w:pPr>
        <w:tabs>
          <w:tab w:val="num" w:pos="5040"/>
        </w:tabs>
        <w:ind w:left="5040" w:hanging="360"/>
      </w:pPr>
      <w:rPr>
        <w:rFonts w:ascii="Arial" w:hAnsi="Arial" w:hint="default"/>
      </w:rPr>
    </w:lvl>
    <w:lvl w:ilvl="7" w:tplc="D590AC46" w:tentative="1">
      <w:start w:val="1"/>
      <w:numFmt w:val="bullet"/>
      <w:lvlText w:val="•"/>
      <w:lvlJc w:val="left"/>
      <w:pPr>
        <w:tabs>
          <w:tab w:val="num" w:pos="5760"/>
        </w:tabs>
        <w:ind w:left="5760" w:hanging="360"/>
      </w:pPr>
      <w:rPr>
        <w:rFonts w:ascii="Arial" w:hAnsi="Arial" w:hint="default"/>
      </w:rPr>
    </w:lvl>
    <w:lvl w:ilvl="8" w:tplc="6AFA954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675675"/>
    <w:multiLevelType w:val="hybridMultilevel"/>
    <w:tmpl w:val="104A6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DA5BA8"/>
    <w:multiLevelType w:val="hybridMultilevel"/>
    <w:tmpl w:val="7D56B75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5BD77DF"/>
    <w:multiLevelType w:val="multilevel"/>
    <w:tmpl w:val="C69A9C28"/>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360" w:hanging="360"/>
      </w:p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81583C"/>
    <w:multiLevelType w:val="hybridMultilevel"/>
    <w:tmpl w:val="8F285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0F2D56"/>
    <w:multiLevelType w:val="hybridMultilevel"/>
    <w:tmpl w:val="E172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415C52"/>
    <w:multiLevelType w:val="hybridMultilevel"/>
    <w:tmpl w:val="FDCAD7C2"/>
    <w:lvl w:ilvl="0" w:tplc="CFBCEB40">
      <w:start w:val="1"/>
      <w:numFmt w:val="bullet"/>
      <w:lvlText w:val="•"/>
      <w:lvlJc w:val="left"/>
      <w:pPr>
        <w:tabs>
          <w:tab w:val="num" w:pos="720"/>
        </w:tabs>
        <w:ind w:left="720" w:hanging="360"/>
      </w:pPr>
      <w:rPr>
        <w:rFonts w:ascii="Arial" w:hAnsi="Arial" w:hint="default"/>
      </w:rPr>
    </w:lvl>
    <w:lvl w:ilvl="1" w:tplc="9FA04454" w:tentative="1">
      <w:start w:val="1"/>
      <w:numFmt w:val="bullet"/>
      <w:lvlText w:val="•"/>
      <w:lvlJc w:val="left"/>
      <w:pPr>
        <w:tabs>
          <w:tab w:val="num" w:pos="1440"/>
        </w:tabs>
        <w:ind w:left="1440" w:hanging="360"/>
      </w:pPr>
      <w:rPr>
        <w:rFonts w:ascii="Arial" w:hAnsi="Arial" w:hint="default"/>
      </w:rPr>
    </w:lvl>
    <w:lvl w:ilvl="2" w:tplc="9BB4C712" w:tentative="1">
      <w:start w:val="1"/>
      <w:numFmt w:val="bullet"/>
      <w:lvlText w:val="•"/>
      <w:lvlJc w:val="left"/>
      <w:pPr>
        <w:tabs>
          <w:tab w:val="num" w:pos="2160"/>
        </w:tabs>
        <w:ind w:left="2160" w:hanging="360"/>
      </w:pPr>
      <w:rPr>
        <w:rFonts w:ascii="Arial" w:hAnsi="Arial" w:hint="default"/>
      </w:rPr>
    </w:lvl>
    <w:lvl w:ilvl="3" w:tplc="86702026" w:tentative="1">
      <w:start w:val="1"/>
      <w:numFmt w:val="bullet"/>
      <w:lvlText w:val="•"/>
      <w:lvlJc w:val="left"/>
      <w:pPr>
        <w:tabs>
          <w:tab w:val="num" w:pos="2880"/>
        </w:tabs>
        <w:ind w:left="2880" w:hanging="360"/>
      </w:pPr>
      <w:rPr>
        <w:rFonts w:ascii="Arial" w:hAnsi="Arial" w:hint="default"/>
      </w:rPr>
    </w:lvl>
    <w:lvl w:ilvl="4" w:tplc="C4D82442" w:tentative="1">
      <w:start w:val="1"/>
      <w:numFmt w:val="bullet"/>
      <w:lvlText w:val="•"/>
      <w:lvlJc w:val="left"/>
      <w:pPr>
        <w:tabs>
          <w:tab w:val="num" w:pos="3600"/>
        </w:tabs>
        <w:ind w:left="3600" w:hanging="360"/>
      </w:pPr>
      <w:rPr>
        <w:rFonts w:ascii="Arial" w:hAnsi="Arial" w:hint="default"/>
      </w:rPr>
    </w:lvl>
    <w:lvl w:ilvl="5" w:tplc="4DAC120E" w:tentative="1">
      <w:start w:val="1"/>
      <w:numFmt w:val="bullet"/>
      <w:lvlText w:val="•"/>
      <w:lvlJc w:val="left"/>
      <w:pPr>
        <w:tabs>
          <w:tab w:val="num" w:pos="4320"/>
        </w:tabs>
        <w:ind w:left="4320" w:hanging="360"/>
      </w:pPr>
      <w:rPr>
        <w:rFonts w:ascii="Arial" w:hAnsi="Arial" w:hint="default"/>
      </w:rPr>
    </w:lvl>
    <w:lvl w:ilvl="6" w:tplc="F9946758" w:tentative="1">
      <w:start w:val="1"/>
      <w:numFmt w:val="bullet"/>
      <w:lvlText w:val="•"/>
      <w:lvlJc w:val="left"/>
      <w:pPr>
        <w:tabs>
          <w:tab w:val="num" w:pos="5040"/>
        </w:tabs>
        <w:ind w:left="5040" w:hanging="360"/>
      </w:pPr>
      <w:rPr>
        <w:rFonts w:ascii="Arial" w:hAnsi="Arial" w:hint="default"/>
      </w:rPr>
    </w:lvl>
    <w:lvl w:ilvl="7" w:tplc="FBBAD87E" w:tentative="1">
      <w:start w:val="1"/>
      <w:numFmt w:val="bullet"/>
      <w:lvlText w:val="•"/>
      <w:lvlJc w:val="left"/>
      <w:pPr>
        <w:tabs>
          <w:tab w:val="num" w:pos="5760"/>
        </w:tabs>
        <w:ind w:left="5760" w:hanging="360"/>
      </w:pPr>
      <w:rPr>
        <w:rFonts w:ascii="Arial" w:hAnsi="Arial" w:hint="default"/>
      </w:rPr>
    </w:lvl>
    <w:lvl w:ilvl="8" w:tplc="E47E610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A2758B0"/>
    <w:multiLevelType w:val="hybridMultilevel"/>
    <w:tmpl w:val="22A4430C"/>
    <w:lvl w:ilvl="0" w:tplc="83EC971C">
      <w:start w:val="1"/>
      <w:numFmt w:val="bullet"/>
      <w:lvlText w:val="•"/>
      <w:lvlJc w:val="left"/>
      <w:pPr>
        <w:tabs>
          <w:tab w:val="num" w:pos="720"/>
        </w:tabs>
        <w:ind w:left="720" w:hanging="360"/>
      </w:pPr>
      <w:rPr>
        <w:rFonts w:ascii="Arial" w:hAnsi="Arial" w:hint="default"/>
      </w:rPr>
    </w:lvl>
    <w:lvl w:ilvl="1" w:tplc="9AECF4D6" w:tentative="1">
      <w:start w:val="1"/>
      <w:numFmt w:val="bullet"/>
      <w:lvlText w:val="•"/>
      <w:lvlJc w:val="left"/>
      <w:pPr>
        <w:tabs>
          <w:tab w:val="num" w:pos="1440"/>
        </w:tabs>
        <w:ind w:left="1440" w:hanging="360"/>
      </w:pPr>
      <w:rPr>
        <w:rFonts w:ascii="Arial" w:hAnsi="Arial" w:hint="default"/>
      </w:rPr>
    </w:lvl>
    <w:lvl w:ilvl="2" w:tplc="6C4ACE8E" w:tentative="1">
      <w:start w:val="1"/>
      <w:numFmt w:val="bullet"/>
      <w:lvlText w:val="•"/>
      <w:lvlJc w:val="left"/>
      <w:pPr>
        <w:tabs>
          <w:tab w:val="num" w:pos="2160"/>
        </w:tabs>
        <w:ind w:left="2160" w:hanging="360"/>
      </w:pPr>
      <w:rPr>
        <w:rFonts w:ascii="Arial" w:hAnsi="Arial" w:hint="default"/>
      </w:rPr>
    </w:lvl>
    <w:lvl w:ilvl="3" w:tplc="B070519A" w:tentative="1">
      <w:start w:val="1"/>
      <w:numFmt w:val="bullet"/>
      <w:lvlText w:val="•"/>
      <w:lvlJc w:val="left"/>
      <w:pPr>
        <w:tabs>
          <w:tab w:val="num" w:pos="2880"/>
        </w:tabs>
        <w:ind w:left="2880" w:hanging="360"/>
      </w:pPr>
      <w:rPr>
        <w:rFonts w:ascii="Arial" w:hAnsi="Arial" w:hint="default"/>
      </w:rPr>
    </w:lvl>
    <w:lvl w:ilvl="4" w:tplc="F078CF92" w:tentative="1">
      <w:start w:val="1"/>
      <w:numFmt w:val="bullet"/>
      <w:lvlText w:val="•"/>
      <w:lvlJc w:val="left"/>
      <w:pPr>
        <w:tabs>
          <w:tab w:val="num" w:pos="3600"/>
        </w:tabs>
        <w:ind w:left="3600" w:hanging="360"/>
      </w:pPr>
      <w:rPr>
        <w:rFonts w:ascii="Arial" w:hAnsi="Arial" w:hint="default"/>
      </w:rPr>
    </w:lvl>
    <w:lvl w:ilvl="5" w:tplc="A63CECC8" w:tentative="1">
      <w:start w:val="1"/>
      <w:numFmt w:val="bullet"/>
      <w:lvlText w:val="•"/>
      <w:lvlJc w:val="left"/>
      <w:pPr>
        <w:tabs>
          <w:tab w:val="num" w:pos="4320"/>
        </w:tabs>
        <w:ind w:left="4320" w:hanging="360"/>
      </w:pPr>
      <w:rPr>
        <w:rFonts w:ascii="Arial" w:hAnsi="Arial" w:hint="default"/>
      </w:rPr>
    </w:lvl>
    <w:lvl w:ilvl="6" w:tplc="31C4B2BE" w:tentative="1">
      <w:start w:val="1"/>
      <w:numFmt w:val="bullet"/>
      <w:lvlText w:val="•"/>
      <w:lvlJc w:val="left"/>
      <w:pPr>
        <w:tabs>
          <w:tab w:val="num" w:pos="5040"/>
        </w:tabs>
        <w:ind w:left="5040" w:hanging="360"/>
      </w:pPr>
      <w:rPr>
        <w:rFonts w:ascii="Arial" w:hAnsi="Arial" w:hint="default"/>
      </w:rPr>
    </w:lvl>
    <w:lvl w:ilvl="7" w:tplc="914A6D2E" w:tentative="1">
      <w:start w:val="1"/>
      <w:numFmt w:val="bullet"/>
      <w:lvlText w:val="•"/>
      <w:lvlJc w:val="left"/>
      <w:pPr>
        <w:tabs>
          <w:tab w:val="num" w:pos="5760"/>
        </w:tabs>
        <w:ind w:left="5760" w:hanging="360"/>
      </w:pPr>
      <w:rPr>
        <w:rFonts w:ascii="Arial" w:hAnsi="Arial" w:hint="default"/>
      </w:rPr>
    </w:lvl>
    <w:lvl w:ilvl="8" w:tplc="D7906C4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C3055AB"/>
    <w:multiLevelType w:val="hybridMultilevel"/>
    <w:tmpl w:val="9566F358"/>
    <w:lvl w:ilvl="0" w:tplc="361AEA08">
      <w:start w:val="1"/>
      <w:numFmt w:val="bullet"/>
      <w:lvlText w:val="•"/>
      <w:lvlJc w:val="left"/>
      <w:pPr>
        <w:tabs>
          <w:tab w:val="num" w:pos="548"/>
        </w:tabs>
        <w:ind w:left="548" w:hanging="360"/>
      </w:pPr>
      <w:rPr>
        <w:rFonts w:ascii="Arial" w:hAnsi="Arial" w:hint="default"/>
      </w:rPr>
    </w:lvl>
    <w:lvl w:ilvl="1" w:tplc="ECA4DF68" w:tentative="1">
      <w:start w:val="1"/>
      <w:numFmt w:val="bullet"/>
      <w:lvlText w:val="•"/>
      <w:lvlJc w:val="left"/>
      <w:pPr>
        <w:tabs>
          <w:tab w:val="num" w:pos="1268"/>
        </w:tabs>
        <w:ind w:left="1268" w:hanging="360"/>
      </w:pPr>
      <w:rPr>
        <w:rFonts w:ascii="Arial" w:hAnsi="Arial" w:hint="default"/>
      </w:rPr>
    </w:lvl>
    <w:lvl w:ilvl="2" w:tplc="5768B280" w:tentative="1">
      <w:start w:val="1"/>
      <w:numFmt w:val="bullet"/>
      <w:lvlText w:val="•"/>
      <w:lvlJc w:val="left"/>
      <w:pPr>
        <w:tabs>
          <w:tab w:val="num" w:pos="1988"/>
        </w:tabs>
        <w:ind w:left="1988" w:hanging="360"/>
      </w:pPr>
      <w:rPr>
        <w:rFonts w:ascii="Arial" w:hAnsi="Arial" w:hint="default"/>
      </w:rPr>
    </w:lvl>
    <w:lvl w:ilvl="3" w:tplc="665A1F2C" w:tentative="1">
      <w:start w:val="1"/>
      <w:numFmt w:val="bullet"/>
      <w:lvlText w:val="•"/>
      <w:lvlJc w:val="left"/>
      <w:pPr>
        <w:tabs>
          <w:tab w:val="num" w:pos="2708"/>
        </w:tabs>
        <w:ind w:left="2708" w:hanging="360"/>
      </w:pPr>
      <w:rPr>
        <w:rFonts w:ascii="Arial" w:hAnsi="Arial" w:hint="default"/>
      </w:rPr>
    </w:lvl>
    <w:lvl w:ilvl="4" w:tplc="2326C020" w:tentative="1">
      <w:start w:val="1"/>
      <w:numFmt w:val="bullet"/>
      <w:lvlText w:val="•"/>
      <w:lvlJc w:val="left"/>
      <w:pPr>
        <w:tabs>
          <w:tab w:val="num" w:pos="3428"/>
        </w:tabs>
        <w:ind w:left="3428" w:hanging="360"/>
      </w:pPr>
      <w:rPr>
        <w:rFonts w:ascii="Arial" w:hAnsi="Arial" w:hint="default"/>
      </w:rPr>
    </w:lvl>
    <w:lvl w:ilvl="5" w:tplc="20CEDE82" w:tentative="1">
      <w:start w:val="1"/>
      <w:numFmt w:val="bullet"/>
      <w:lvlText w:val="•"/>
      <w:lvlJc w:val="left"/>
      <w:pPr>
        <w:tabs>
          <w:tab w:val="num" w:pos="4148"/>
        </w:tabs>
        <w:ind w:left="4148" w:hanging="360"/>
      </w:pPr>
      <w:rPr>
        <w:rFonts w:ascii="Arial" w:hAnsi="Arial" w:hint="default"/>
      </w:rPr>
    </w:lvl>
    <w:lvl w:ilvl="6" w:tplc="9F6A12DA" w:tentative="1">
      <w:start w:val="1"/>
      <w:numFmt w:val="bullet"/>
      <w:lvlText w:val="•"/>
      <w:lvlJc w:val="left"/>
      <w:pPr>
        <w:tabs>
          <w:tab w:val="num" w:pos="4868"/>
        </w:tabs>
        <w:ind w:left="4868" w:hanging="360"/>
      </w:pPr>
      <w:rPr>
        <w:rFonts w:ascii="Arial" w:hAnsi="Arial" w:hint="default"/>
      </w:rPr>
    </w:lvl>
    <w:lvl w:ilvl="7" w:tplc="B6F67658" w:tentative="1">
      <w:start w:val="1"/>
      <w:numFmt w:val="bullet"/>
      <w:lvlText w:val="•"/>
      <w:lvlJc w:val="left"/>
      <w:pPr>
        <w:tabs>
          <w:tab w:val="num" w:pos="5588"/>
        </w:tabs>
        <w:ind w:left="5588" w:hanging="360"/>
      </w:pPr>
      <w:rPr>
        <w:rFonts w:ascii="Arial" w:hAnsi="Arial" w:hint="default"/>
      </w:rPr>
    </w:lvl>
    <w:lvl w:ilvl="8" w:tplc="8AF093DC" w:tentative="1">
      <w:start w:val="1"/>
      <w:numFmt w:val="bullet"/>
      <w:lvlText w:val="•"/>
      <w:lvlJc w:val="left"/>
      <w:pPr>
        <w:tabs>
          <w:tab w:val="num" w:pos="6308"/>
        </w:tabs>
        <w:ind w:left="6308" w:hanging="360"/>
      </w:pPr>
      <w:rPr>
        <w:rFonts w:ascii="Arial" w:hAnsi="Arial" w:hint="default"/>
      </w:rPr>
    </w:lvl>
  </w:abstractNum>
  <w:abstractNum w:abstractNumId="38" w15:restartNumberingAfterBreak="0">
    <w:nsid w:val="5DC52A6E"/>
    <w:multiLevelType w:val="multilevel"/>
    <w:tmpl w:val="16A2AD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bullet"/>
      <w:lvlText w:val=""/>
      <w:lvlJc w:val="left"/>
      <w:pPr>
        <w:ind w:left="1440" w:hanging="360"/>
      </w:pPr>
      <w:rPr>
        <w:rFonts w:ascii="Symbol" w:hAnsi="Symbol" w:hint="default"/>
      </w:r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200553C"/>
    <w:multiLevelType w:val="hybridMultilevel"/>
    <w:tmpl w:val="44D6308E"/>
    <w:lvl w:ilvl="0" w:tplc="2670D9E4">
      <w:start w:val="1"/>
      <w:numFmt w:val="bullet"/>
      <w:lvlText w:val="•"/>
      <w:lvlJc w:val="left"/>
      <w:pPr>
        <w:tabs>
          <w:tab w:val="num" w:pos="720"/>
        </w:tabs>
        <w:ind w:left="720" w:hanging="360"/>
      </w:pPr>
      <w:rPr>
        <w:rFonts w:ascii="Arial" w:hAnsi="Arial" w:hint="default"/>
      </w:rPr>
    </w:lvl>
    <w:lvl w:ilvl="1" w:tplc="7DE43366" w:tentative="1">
      <w:start w:val="1"/>
      <w:numFmt w:val="bullet"/>
      <w:lvlText w:val="•"/>
      <w:lvlJc w:val="left"/>
      <w:pPr>
        <w:tabs>
          <w:tab w:val="num" w:pos="1440"/>
        </w:tabs>
        <w:ind w:left="1440" w:hanging="360"/>
      </w:pPr>
      <w:rPr>
        <w:rFonts w:ascii="Arial" w:hAnsi="Arial" w:hint="default"/>
      </w:rPr>
    </w:lvl>
    <w:lvl w:ilvl="2" w:tplc="5A5C13DC" w:tentative="1">
      <w:start w:val="1"/>
      <w:numFmt w:val="bullet"/>
      <w:lvlText w:val="•"/>
      <w:lvlJc w:val="left"/>
      <w:pPr>
        <w:tabs>
          <w:tab w:val="num" w:pos="2160"/>
        </w:tabs>
        <w:ind w:left="2160" w:hanging="360"/>
      </w:pPr>
      <w:rPr>
        <w:rFonts w:ascii="Arial" w:hAnsi="Arial" w:hint="default"/>
      </w:rPr>
    </w:lvl>
    <w:lvl w:ilvl="3" w:tplc="4E6CDF46" w:tentative="1">
      <w:start w:val="1"/>
      <w:numFmt w:val="bullet"/>
      <w:lvlText w:val="•"/>
      <w:lvlJc w:val="left"/>
      <w:pPr>
        <w:tabs>
          <w:tab w:val="num" w:pos="2880"/>
        </w:tabs>
        <w:ind w:left="2880" w:hanging="360"/>
      </w:pPr>
      <w:rPr>
        <w:rFonts w:ascii="Arial" w:hAnsi="Arial" w:hint="default"/>
      </w:rPr>
    </w:lvl>
    <w:lvl w:ilvl="4" w:tplc="3FFC24F0" w:tentative="1">
      <w:start w:val="1"/>
      <w:numFmt w:val="bullet"/>
      <w:lvlText w:val="•"/>
      <w:lvlJc w:val="left"/>
      <w:pPr>
        <w:tabs>
          <w:tab w:val="num" w:pos="3600"/>
        </w:tabs>
        <w:ind w:left="3600" w:hanging="360"/>
      </w:pPr>
      <w:rPr>
        <w:rFonts w:ascii="Arial" w:hAnsi="Arial" w:hint="default"/>
      </w:rPr>
    </w:lvl>
    <w:lvl w:ilvl="5" w:tplc="63DC5AC2" w:tentative="1">
      <w:start w:val="1"/>
      <w:numFmt w:val="bullet"/>
      <w:lvlText w:val="•"/>
      <w:lvlJc w:val="left"/>
      <w:pPr>
        <w:tabs>
          <w:tab w:val="num" w:pos="4320"/>
        </w:tabs>
        <w:ind w:left="4320" w:hanging="360"/>
      </w:pPr>
      <w:rPr>
        <w:rFonts w:ascii="Arial" w:hAnsi="Arial" w:hint="default"/>
      </w:rPr>
    </w:lvl>
    <w:lvl w:ilvl="6" w:tplc="4746B76E" w:tentative="1">
      <w:start w:val="1"/>
      <w:numFmt w:val="bullet"/>
      <w:lvlText w:val="•"/>
      <w:lvlJc w:val="left"/>
      <w:pPr>
        <w:tabs>
          <w:tab w:val="num" w:pos="5040"/>
        </w:tabs>
        <w:ind w:left="5040" w:hanging="360"/>
      </w:pPr>
      <w:rPr>
        <w:rFonts w:ascii="Arial" w:hAnsi="Arial" w:hint="default"/>
      </w:rPr>
    </w:lvl>
    <w:lvl w:ilvl="7" w:tplc="825A4E40" w:tentative="1">
      <w:start w:val="1"/>
      <w:numFmt w:val="bullet"/>
      <w:lvlText w:val="•"/>
      <w:lvlJc w:val="left"/>
      <w:pPr>
        <w:tabs>
          <w:tab w:val="num" w:pos="5760"/>
        </w:tabs>
        <w:ind w:left="5760" w:hanging="360"/>
      </w:pPr>
      <w:rPr>
        <w:rFonts w:ascii="Arial" w:hAnsi="Arial" w:hint="default"/>
      </w:rPr>
    </w:lvl>
    <w:lvl w:ilvl="8" w:tplc="3E9084F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3F5826"/>
    <w:multiLevelType w:val="hybridMultilevel"/>
    <w:tmpl w:val="B7E8E3F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C820209"/>
    <w:multiLevelType w:val="hybridMultilevel"/>
    <w:tmpl w:val="DAE2C8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88D03B4"/>
    <w:multiLevelType w:val="hybridMultilevel"/>
    <w:tmpl w:val="88C803D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003013"/>
    <w:multiLevelType w:val="hybridMultilevel"/>
    <w:tmpl w:val="2DCAEC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C549DA"/>
    <w:multiLevelType w:val="hybridMultilevel"/>
    <w:tmpl w:val="FF643DD8"/>
    <w:styleLink w:val="NHSBullets"/>
    <w:lvl w:ilvl="0" w:tplc="FCD88B04">
      <w:start w:val="1"/>
      <w:numFmt w:val="bullet"/>
      <w:lvlText w:val="•"/>
      <w:lvlJc w:val="left"/>
      <w:pPr>
        <w:ind w:left="851" w:hanging="284"/>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sz w:val="32"/>
        <w:szCs w:val="32"/>
        <w:highlight w:val="none"/>
        <w:u w:val="none"/>
        <w:effect w:val="none"/>
        <w:vertAlign w:val="baseline"/>
      </w:rPr>
    </w:lvl>
    <w:lvl w:ilvl="1" w:tplc="B896E21E">
      <w:start w:val="1"/>
      <w:numFmt w:val="bullet"/>
      <w:lvlText w:val="–"/>
      <w:lvlJc w:val="left"/>
      <w:pPr>
        <w:ind w:left="1134"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2" w:tplc="13506878">
      <w:start w:val="1"/>
      <w:numFmt w:val="bullet"/>
      <w:lvlText w:val="–"/>
      <w:lvlJc w:val="left"/>
      <w:pPr>
        <w:ind w:left="1985"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3" w:tplc="464C538C">
      <w:start w:val="1"/>
      <w:numFmt w:val="bullet"/>
      <w:lvlText w:val="–"/>
      <w:lvlJc w:val="left"/>
      <w:pPr>
        <w:ind w:left="2836"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4" w:tplc="9CD40CEC">
      <w:start w:val="1"/>
      <w:numFmt w:val="bullet"/>
      <w:lvlText w:val="–"/>
      <w:lvlJc w:val="left"/>
      <w:pPr>
        <w:ind w:left="3687"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5" w:tplc="2D20AA70">
      <w:start w:val="1"/>
      <w:numFmt w:val="bullet"/>
      <w:lvlText w:val="–"/>
      <w:lvlJc w:val="left"/>
      <w:pPr>
        <w:ind w:left="4538"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6" w:tplc="218ECF84">
      <w:start w:val="1"/>
      <w:numFmt w:val="bullet"/>
      <w:lvlText w:val="–"/>
      <w:lvlJc w:val="left"/>
      <w:pPr>
        <w:ind w:left="5389"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7" w:tplc="89646BEC">
      <w:start w:val="1"/>
      <w:numFmt w:val="bullet"/>
      <w:lvlText w:val="–"/>
      <w:lvlJc w:val="left"/>
      <w:pPr>
        <w:ind w:left="6240"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8" w:tplc="9C20F04C">
      <w:start w:val="1"/>
      <w:numFmt w:val="bullet"/>
      <w:lvlText w:val="–"/>
      <w:lvlJc w:val="left"/>
      <w:pPr>
        <w:ind w:left="7091"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abstractNum>
  <w:abstractNum w:abstractNumId="45" w15:restartNumberingAfterBreak="0">
    <w:nsid w:val="7F971668"/>
    <w:multiLevelType w:val="hybridMultilevel"/>
    <w:tmpl w:val="75640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49795252">
    <w:abstractNumId w:val="0"/>
  </w:num>
  <w:num w:numId="2" w16cid:durableId="1394693074">
    <w:abstractNumId w:val="27"/>
  </w:num>
  <w:num w:numId="3" w16cid:durableId="570964709">
    <w:abstractNumId w:val="15"/>
  </w:num>
  <w:num w:numId="4" w16cid:durableId="628560427">
    <w:abstractNumId w:val="27"/>
  </w:num>
  <w:num w:numId="5" w16cid:durableId="836574281">
    <w:abstractNumId w:val="33"/>
  </w:num>
  <w:num w:numId="6" w16cid:durableId="574243120">
    <w:abstractNumId w:val="45"/>
  </w:num>
  <w:num w:numId="7" w16cid:durableId="248660598">
    <w:abstractNumId w:val="35"/>
  </w:num>
  <w:num w:numId="8" w16cid:durableId="66612052">
    <w:abstractNumId w:val="25"/>
  </w:num>
  <w:num w:numId="9" w16cid:durableId="593321914">
    <w:abstractNumId w:val="36"/>
  </w:num>
  <w:num w:numId="10" w16cid:durableId="1072892102">
    <w:abstractNumId w:val="7"/>
  </w:num>
  <w:num w:numId="11" w16cid:durableId="1455251168">
    <w:abstractNumId w:val="39"/>
  </w:num>
  <w:num w:numId="12" w16cid:durableId="746267921">
    <w:abstractNumId w:val="21"/>
  </w:num>
  <w:num w:numId="13" w16cid:durableId="260383120">
    <w:abstractNumId w:val="30"/>
  </w:num>
  <w:num w:numId="14" w16cid:durableId="1478183298">
    <w:abstractNumId w:val="16"/>
  </w:num>
  <w:num w:numId="15" w16cid:durableId="2023193055">
    <w:abstractNumId w:val="26"/>
  </w:num>
  <w:num w:numId="16" w16cid:durableId="1249389372">
    <w:abstractNumId w:val="24"/>
  </w:num>
  <w:num w:numId="17" w16cid:durableId="219482238">
    <w:abstractNumId w:val="44"/>
  </w:num>
  <w:num w:numId="18" w16cid:durableId="1513492274">
    <w:abstractNumId w:val="18"/>
  </w:num>
  <w:num w:numId="19" w16cid:durableId="1606303357">
    <w:abstractNumId w:val="3"/>
  </w:num>
  <w:num w:numId="20" w16cid:durableId="1371567515">
    <w:abstractNumId w:val="8"/>
  </w:num>
  <w:num w:numId="21" w16cid:durableId="1443569632">
    <w:abstractNumId w:val="43"/>
  </w:num>
  <w:num w:numId="22" w16cid:durableId="82579005">
    <w:abstractNumId w:val="32"/>
  </w:num>
  <w:num w:numId="23" w16cid:durableId="1723749260">
    <w:abstractNumId w:val="34"/>
  </w:num>
  <w:num w:numId="24" w16cid:durableId="1561475932">
    <w:abstractNumId w:val="1"/>
  </w:num>
  <w:num w:numId="25" w16cid:durableId="131481932">
    <w:abstractNumId w:val="31"/>
  </w:num>
  <w:num w:numId="26" w16cid:durableId="921455362">
    <w:abstractNumId w:val="5"/>
  </w:num>
  <w:num w:numId="27" w16cid:durableId="1234463310">
    <w:abstractNumId w:val="41"/>
  </w:num>
  <w:num w:numId="28" w16cid:durableId="1779174050">
    <w:abstractNumId w:val="6"/>
  </w:num>
  <w:num w:numId="29" w16cid:durableId="1169516927">
    <w:abstractNumId w:val="12"/>
  </w:num>
  <w:num w:numId="30" w16cid:durableId="383255886">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493803">
    <w:abstractNumId w:val="37"/>
  </w:num>
  <w:num w:numId="32" w16cid:durableId="2065984489">
    <w:abstractNumId w:val="11"/>
  </w:num>
  <w:num w:numId="33" w16cid:durableId="1380588123">
    <w:abstractNumId w:val="29"/>
  </w:num>
  <w:num w:numId="34" w16cid:durableId="1907951578">
    <w:abstractNumId w:val="38"/>
  </w:num>
  <w:num w:numId="35" w16cid:durableId="1126002039">
    <w:abstractNumId w:val="14"/>
  </w:num>
  <w:num w:numId="36" w16cid:durableId="159270407">
    <w:abstractNumId w:val="28"/>
  </w:num>
  <w:num w:numId="37" w16cid:durableId="779881829">
    <w:abstractNumId w:val="2"/>
  </w:num>
  <w:num w:numId="38" w16cid:durableId="1049038763">
    <w:abstractNumId w:val="42"/>
  </w:num>
  <w:num w:numId="39" w16cid:durableId="2044207373">
    <w:abstractNumId w:val="9"/>
  </w:num>
  <w:num w:numId="40" w16cid:durableId="441343527">
    <w:abstractNumId w:val="22"/>
  </w:num>
  <w:num w:numId="41" w16cid:durableId="1046023492">
    <w:abstractNumId w:val="4"/>
  </w:num>
  <w:num w:numId="42" w16cid:durableId="511533450">
    <w:abstractNumId w:val="20"/>
  </w:num>
  <w:num w:numId="43" w16cid:durableId="217938152">
    <w:abstractNumId w:val="19"/>
  </w:num>
  <w:num w:numId="44" w16cid:durableId="715739409">
    <w:abstractNumId w:val="17"/>
  </w:num>
  <w:num w:numId="45" w16cid:durableId="747076450">
    <w:abstractNumId w:val="10"/>
  </w:num>
  <w:num w:numId="46" w16cid:durableId="1284653665">
    <w:abstractNumId w:val="23"/>
  </w:num>
  <w:num w:numId="47" w16cid:durableId="294725330">
    <w:abstractNumId w:val="13"/>
  </w:num>
  <w:num w:numId="48" w16cid:durableId="1936786667">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12"/>
    <w:rsid w:val="00000197"/>
    <w:rsid w:val="000005C7"/>
    <w:rsid w:val="00001E51"/>
    <w:rsid w:val="0000217B"/>
    <w:rsid w:val="0000310F"/>
    <w:rsid w:val="0000318A"/>
    <w:rsid w:val="00003EE8"/>
    <w:rsid w:val="0000416F"/>
    <w:rsid w:val="0000500B"/>
    <w:rsid w:val="0000530F"/>
    <w:rsid w:val="00006985"/>
    <w:rsid w:val="000070FB"/>
    <w:rsid w:val="0000741D"/>
    <w:rsid w:val="00007727"/>
    <w:rsid w:val="000108B8"/>
    <w:rsid w:val="0001164C"/>
    <w:rsid w:val="00011C80"/>
    <w:rsid w:val="0001481A"/>
    <w:rsid w:val="00015B8E"/>
    <w:rsid w:val="00015DAF"/>
    <w:rsid w:val="00020334"/>
    <w:rsid w:val="000207C9"/>
    <w:rsid w:val="00021C8A"/>
    <w:rsid w:val="00022224"/>
    <w:rsid w:val="000228FA"/>
    <w:rsid w:val="00022C4A"/>
    <w:rsid w:val="00024A10"/>
    <w:rsid w:val="00024E1E"/>
    <w:rsid w:val="00025173"/>
    <w:rsid w:val="00026496"/>
    <w:rsid w:val="000269AC"/>
    <w:rsid w:val="000271A6"/>
    <w:rsid w:val="000271F6"/>
    <w:rsid w:val="000274AD"/>
    <w:rsid w:val="00030AE3"/>
    <w:rsid w:val="00031789"/>
    <w:rsid w:val="0003185C"/>
    <w:rsid w:val="00031FD0"/>
    <w:rsid w:val="00034020"/>
    <w:rsid w:val="00034E14"/>
    <w:rsid w:val="00035165"/>
    <w:rsid w:val="000352CC"/>
    <w:rsid w:val="00035665"/>
    <w:rsid w:val="0003702A"/>
    <w:rsid w:val="000371DA"/>
    <w:rsid w:val="0003736E"/>
    <w:rsid w:val="000375E8"/>
    <w:rsid w:val="000416AC"/>
    <w:rsid w:val="00041E37"/>
    <w:rsid w:val="000427A8"/>
    <w:rsid w:val="0004382D"/>
    <w:rsid w:val="00043A5D"/>
    <w:rsid w:val="00043B3C"/>
    <w:rsid w:val="00044B1E"/>
    <w:rsid w:val="0005117C"/>
    <w:rsid w:val="00052839"/>
    <w:rsid w:val="00052C80"/>
    <w:rsid w:val="0005342B"/>
    <w:rsid w:val="00053D58"/>
    <w:rsid w:val="00054429"/>
    <w:rsid w:val="000549F6"/>
    <w:rsid w:val="00054D7D"/>
    <w:rsid w:val="00055630"/>
    <w:rsid w:val="00057711"/>
    <w:rsid w:val="0006008F"/>
    <w:rsid w:val="00060925"/>
    <w:rsid w:val="00060B0A"/>
    <w:rsid w:val="00060B73"/>
    <w:rsid w:val="00060F61"/>
    <w:rsid w:val="00061452"/>
    <w:rsid w:val="0006416B"/>
    <w:rsid w:val="00065181"/>
    <w:rsid w:val="0006583A"/>
    <w:rsid w:val="000658AF"/>
    <w:rsid w:val="00066105"/>
    <w:rsid w:val="000679C1"/>
    <w:rsid w:val="00067B63"/>
    <w:rsid w:val="0006B51C"/>
    <w:rsid w:val="000701A7"/>
    <w:rsid w:val="000733A2"/>
    <w:rsid w:val="00074FF0"/>
    <w:rsid w:val="00075AEC"/>
    <w:rsid w:val="00075E4C"/>
    <w:rsid w:val="00076077"/>
    <w:rsid w:val="000767E3"/>
    <w:rsid w:val="00076BFF"/>
    <w:rsid w:val="0007794A"/>
    <w:rsid w:val="00077D0F"/>
    <w:rsid w:val="000802CD"/>
    <w:rsid w:val="00080645"/>
    <w:rsid w:val="00080DE5"/>
    <w:rsid w:val="00081E2B"/>
    <w:rsid w:val="00082BC5"/>
    <w:rsid w:val="0008313C"/>
    <w:rsid w:val="00085D43"/>
    <w:rsid w:val="000863E2"/>
    <w:rsid w:val="0009017C"/>
    <w:rsid w:val="00090BDB"/>
    <w:rsid w:val="000916D1"/>
    <w:rsid w:val="0009195F"/>
    <w:rsid w:val="00092E13"/>
    <w:rsid w:val="00093484"/>
    <w:rsid w:val="000935A1"/>
    <w:rsid w:val="00093A33"/>
    <w:rsid w:val="000941B3"/>
    <w:rsid w:val="000941B4"/>
    <w:rsid w:val="00095621"/>
    <w:rsid w:val="000964CF"/>
    <w:rsid w:val="000972A1"/>
    <w:rsid w:val="000A0090"/>
    <w:rsid w:val="000A06E5"/>
    <w:rsid w:val="000A07C8"/>
    <w:rsid w:val="000A266D"/>
    <w:rsid w:val="000A35C9"/>
    <w:rsid w:val="000A3E67"/>
    <w:rsid w:val="000A5E8B"/>
    <w:rsid w:val="000A64E4"/>
    <w:rsid w:val="000A7BE4"/>
    <w:rsid w:val="000B0256"/>
    <w:rsid w:val="000B08F9"/>
    <w:rsid w:val="000B1102"/>
    <w:rsid w:val="000B1236"/>
    <w:rsid w:val="000B20D8"/>
    <w:rsid w:val="000B28E2"/>
    <w:rsid w:val="000B2C72"/>
    <w:rsid w:val="000B3E94"/>
    <w:rsid w:val="000B5808"/>
    <w:rsid w:val="000B626A"/>
    <w:rsid w:val="000B66E1"/>
    <w:rsid w:val="000B75F2"/>
    <w:rsid w:val="000B7F87"/>
    <w:rsid w:val="000C0019"/>
    <w:rsid w:val="000C007E"/>
    <w:rsid w:val="000C0576"/>
    <w:rsid w:val="000C11FC"/>
    <w:rsid w:val="000C1801"/>
    <w:rsid w:val="000C2187"/>
    <w:rsid w:val="000C2447"/>
    <w:rsid w:val="000C24AF"/>
    <w:rsid w:val="000C3D58"/>
    <w:rsid w:val="000C42B1"/>
    <w:rsid w:val="000C492F"/>
    <w:rsid w:val="000C5144"/>
    <w:rsid w:val="000C656C"/>
    <w:rsid w:val="000C755B"/>
    <w:rsid w:val="000D043C"/>
    <w:rsid w:val="000D0780"/>
    <w:rsid w:val="000D0E1B"/>
    <w:rsid w:val="000D1166"/>
    <w:rsid w:val="000D262A"/>
    <w:rsid w:val="000D2CB8"/>
    <w:rsid w:val="000D39C3"/>
    <w:rsid w:val="000D4846"/>
    <w:rsid w:val="000D4D64"/>
    <w:rsid w:val="000D58DA"/>
    <w:rsid w:val="000D6450"/>
    <w:rsid w:val="000D67FF"/>
    <w:rsid w:val="000D7091"/>
    <w:rsid w:val="000D70FA"/>
    <w:rsid w:val="000D71E3"/>
    <w:rsid w:val="000D71E6"/>
    <w:rsid w:val="000E2B86"/>
    <w:rsid w:val="000E2EBE"/>
    <w:rsid w:val="000E36B4"/>
    <w:rsid w:val="000E422D"/>
    <w:rsid w:val="000E48F2"/>
    <w:rsid w:val="000E4BC8"/>
    <w:rsid w:val="000E5389"/>
    <w:rsid w:val="000E5C46"/>
    <w:rsid w:val="000E5CB0"/>
    <w:rsid w:val="000E61D4"/>
    <w:rsid w:val="000E62A1"/>
    <w:rsid w:val="000E6B52"/>
    <w:rsid w:val="000E6C22"/>
    <w:rsid w:val="000E6C37"/>
    <w:rsid w:val="000E6C9E"/>
    <w:rsid w:val="000E7651"/>
    <w:rsid w:val="000E7F9D"/>
    <w:rsid w:val="000F4F62"/>
    <w:rsid w:val="000F552A"/>
    <w:rsid w:val="000F5974"/>
    <w:rsid w:val="000F5F5E"/>
    <w:rsid w:val="000F613F"/>
    <w:rsid w:val="000F6429"/>
    <w:rsid w:val="000F79B9"/>
    <w:rsid w:val="00101811"/>
    <w:rsid w:val="00101883"/>
    <w:rsid w:val="0010192E"/>
    <w:rsid w:val="0010264C"/>
    <w:rsid w:val="00102801"/>
    <w:rsid w:val="0010326E"/>
    <w:rsid w:val="00103486"/>
    <w:rsid w:val="00103F4D"/>
    <w:rsid w:val="00104CBB"/>
    <w:rsid w:val="0010592F"/>
    <w:rsid w:val="00106905"/>
    <w:rsid w:val="001102AF"/>
    <w:rsid w:val="001113F1"/>
    <w:rsid w:val="00113616"/>
    <w:rsid w:val="00113DD4"/>
    <w:rsid w:val="00113DFE"/>
    <w:rsid w:val="00113EEC"/>
    <w:rsid w:val="0011412F"/>
    <w:rsid w:val="001143D5"/>
    <w:rsid w:val="00115ECD"/>
    <w:rsid w:val="0011653E"/>
    <w:rsid w:val="0011666F"/>
    <w:rsid w:val="00117CAA"/>
    <w:rsid w:val="0012169F"/>
    <w:rsid w:val="00121845"/>
    <w:rsid w:val="00121A3A"/>
    <w:rsid w:val="00122CE1"/>
    <w:rsid w:val="001236E6"/>
    <w:rsid w:val="00123768"/>
    <w:rsid w:val="00124267"/>
    <w:rsid w:val="00125371"/>
    <w:rsid w:val="00125A30"/>
    <w:rsid w:val="001265EF"/>
    <w:rsid w:val="00126718"/>
    <w:rsid w:val="00127A17"/>
    <w:rsid w:val="00127C11"/>
    <w:rsid w:val="00127E88"/>
    <w:rsid w:val="00127FFD"/>
    <w:rsid w:val="0013030B"/>
    <w:rsid w:val="00130FC6"/>
    <w:rsid w:val="001316D2"/>
    <w:rsid w:val="00131851"/>
    <w:rsid w:val="001319A5"/>
    <w:rsid w:val="00132BF0"/>
    <w:rsid w:val="001330BF"/>
    <w:rsid w:val="00133143"/>
    <w:rsid w:val="001339A0"/>
    <w:rsid w:val="00133C2D"/>
    <w:rsid w:val="001359DA"/>
    <w:rsid w:val="0013638C"/>
    <w:rsid w:val="001366D2"/>
    <w:rsid w:val="00136728"/>
    <w:rsid w:val="00136986"/>
    <w:rsid w:val="00137028"/>
    <w:rsid w:val="001408F5"/>
    <w:rsid w:val="001416B3"/>
    <w:rsid w:val="00142440"/>
    <w:rsid w:val="001440A2"/>
    <w:rsid w:val="00144204"/>
    <w:rsid w:val="00144247"/>
    <w:rsid w:val="001445C2"/>
    <w:rsid w:val="00144E87"/>
    <w:rsid w:val="00145BF1"/>
    <w:rsid w:val="001466C4"/>
    <w:rsid w:val="00146DAB"/>
    <w:rsid w:val="00147270"/>
    <w:rsid w:val="00147717"/>
    <w:rsid w:val="00150F9E"/>
    <w:rsid w:val="00151944"/>
    <w:rsid w:val="00152504"/>
    <w:rsid w:val="001528F8"/>
    <w:rsid w:val="00153129"/>
    <w:rsid w:val="001554F9"/>
    <w:rsid w:val="00155C15"/>
    <w:rsid w:val="00157986"/>
    <w:rsid w:val="001600D9"/>
    <w:rsid w:val="00161D78"/>
    <w:rsid w:val="001626A9"/>
    <w:rsid w:val="00163F6C"/>
    <w:rsid w:val="00166E3D"/>
    <w:rsid w:val="00167882"/>
    <w:rsid w:val="0017052F"/>
    <w:rsid w:val="001716E5"/>
    <w:rsid w:val="0017315B"/>
    <w:rsid w:val="001732AD"/>
    <w:rsid w:val="001746CB"/>
    <w:rsid w:val="00174E90"/>
    <w:rsid w:val="00175D7B"/>
    <w:rsid w:val="001768BF"/>
    <w:rsid w:val="00176AE4"/>
    <w:rsid w:val="00176E3F"/>
    <w:rsid w:val="00176EA7"/>
    <w:rsid w:val="0018308C"/>
    <w:rsid w:val="00184BEC"/>
    <w:rsid w:val="00184DC6"/>
    <w:rsid w:val="00185307"/>
    <w:rsid w:val="0018582B"/>
    <w:rsid w:val="001860DE"/>
    <w:rsid w:val="001861D9"/>
    <w:rsid w:val="00186E1B"/>
    <w:rsid w:val="00191871"/>
    <w:rsid w:val="00192455"/>
    <w:rsid w:val="00192B38"/>
    <w:rsid w:val="00195152"/>
    <w:rsid w:val="00195210"/>
    <w:rsid w:val="0019592C"/>
    <w:rsid w:val="00196704"/>
    <w:rsid w:val="001A0EAD"/>
    <w:rsid w:val="001A1E54"/>
    <w:rsid w:val="001A23E9"/>
    <w:rsid w:val="001A33D9"/>
    <w:rsid w:val="001A418D"/>
    <w:rsid w:val="001A73C0"/>
    <w:rsid w:val="001B1027"/>
    <w:rsid w:val="001B219A"/>
    <w:rsid w:val="001B2444"/>
    <w:rsid w:val="001B2BBF"/>
    <w:rsid w:val="001B2CA3"/>
    <w:rsid w:val="001B4B97"/>
    <w:rsid w:val="001B50E4"/>
    <w:rsid w:val="001B5CB9"/>
    <w:rsid w:val="001B601C"/>
    <w:rsid w:val="001B6D77"/>
    <w:rsid w:val="001B6E2B"/>
    <w:rsid w:val="001B735D"/>
    <w:rsid w:val="001B7D74"/>
    <w:rsid w:val="001C0DD8"/>
    <w:rsid w:val="001C1B43"/>
    <w:rsid w:val="001C2932"/>
    <w:rsid w:val="001C3565"/>
    <w:rsid w:val="001C39B8"/>
    <w:rsid w:val="001C4017"/>
    <w:rsid w:val="001C460A"/>
    <w:rsid w:val="001C4EDE"/>
    <w:rsid w:val="001C5061"/>
    <w:rsid w:val="001C523F"/>
    <w:rsid w:val="001C6937"/>
    <w:rsid w:val="001C7F8C"/>
    <w:rsid w:val="001D050E"/>
    <w:rsid w:val="001D0880"/>
    <w:rsid w:val="001D133F"/>
    <w:rsid w:val="001D1E7A"/>
    <w:rsid w:val="001D243C"/>
    <w:rsid w:val="001D25AB"/>
    <w:rsid w:val="001E004E"/>
    <w:rsid w:val="001E1385"/>
    <w:rsid w:val="001E2141"/>
    <w:rsid w:val="001E27F8"/>
    <w:rsid w:val="001E34B0"/>
    <w:rsid w:val="001E34E6"/>
    <w:rsid w:val="001E4FCD"/>
    <w:rsid w:val="001E572A"/>
    <w:rsid w:val="001E5F2A"/>
    <w:rsid w:val="001E66DE"/>
    <w:rsid w:val="001E73B2"/>
    <w:rsid w:val="001E7AEF"/>
    <w:rsid w:val="001E7BB7"/>
    <w:rsid w:val="001F0397"/>
    <w:rsid w:val="001F042C"/>
    <w:rsid w:val="001F10B8"/>
    <w:rsid w:val="001F10F4"/>
    <w:rsid w:val="001F1C55"/>
    <w:rsid w:val="001F2D7E"/>
    <w:rsid w:val="001F2E2D"/>
    <w:rsid w:val="001F3126"/>
    <w:rsid w:val="001F3F18"/>
    <w:rsid w:val="001F4D54"/>
    <w:rsid w:val="001F58EF"/>
    <w:rsid w:val="001F602E"/>
    <w:rsid w:val="001F6BC2"/>
    <w:rsid w:val="002007DC"/>
    <w:rsid w:val="00200A72"/>
    <w:rsid w:val="00202141"/>
    <w:rsid w:val="0020287B"/>
    <w:rsid w:val="0020309F"/>
    <w:rsid w:val="00203218"/>
    <w:rsid w:val="00203391"/>
    <w:rsid w:val="0020553A"/>
    <w:rsid w:val="00207396"/>
    <w:rsid w:val="0020783D"/>
    <w:rsid w:val="00207E44"/>
    <w:rsid w:val="0021027B"/>
    <w:rsid w:val="00210D2F"/>
    <w:rsid w:val="00210EC2"/>
    <w:rsid w:val="0021323D"/>
    <w:rsid w:val="00213F6F"/>
    <w:rsid w:val="002143B9"/>
    <w:rsid w:val="00215282"/>
    <w:rsid w:val="00215B4F"/>
    <w:rsid w:val="0021628B"/>
    <w:rsid w:val="00216D59"/>
    <w:rsid w:val="00216E2E"/>
    <w:rsid w:val="00217C64"/>
    <w:rsid w:val="002207E7"/>
    <w:rsid w:val="002209EA"/>
    <w:rsid w:val="0022117B"/>
    <w:rsid w:val="0022134A"/>
    <w:rsid w:val="00222AF3"/>
    <w:rsid w:val="00223EE9"/>
    <w:rsid w:val="00224E96"/>
    <w:rsid w:val="0022596F"/>
    <w:rsid w:val="002265AF"/>
    <w:rsid w:val="002268D3"/>
    <w:rsid w:val="00227D32"/>
    <w:rsid w:val="00230334"/>
    <w:rsid w:val="0023127A"/>
    <w:rsid w:val="002343E1"/>
    <w:rsid w:val="00234943"/>
    <w:rsid w:val="00234AD7"/>
    <w:rsid w:val="00235B8C"/>
    <w:rsid w:val="00235DDF"/>
    <w:rsid w:val="002365A0"/>
    <w:rsid w:val="00236730"/>
    <w:rsid w:val="00236C4B"/>
    <w:rsid w:val="00237076"/>
    <w:rsid w:val="0023718C"/>
    <w:rsid w:val="00237A72"/>
    <w:rsid w:val="00240063"/>
    <w:rsid w:val="00240186"/>
    <w:rsid w:val="00240B6E"/>
    <w:rsid w:val="00240C64"/>
    <w:rsid w:val="002416AA"/>
    <w:rsid w:val="00241BA3"/>
    <w:rsid w:val="00242D4F"/>
    <w:rsid w:val="00242DC2"/>
    <w:rsid w:val="0024455C"/>
    <w:rsid w:val="00244DB7"/>
    <w:rsid w:val="002450FA"/>
    <w:rsid w:val="00245FE3"/>
    <w:rsid w:val="00246075"/>
    <w:rsid w:val="00246A37"/>
    <w:rsid w:val="00246FDF"/>
    <w:rsid w:val="002502D0"/>
    <w:rsid w:val="00251AA5"/>
    <w:rsid w:val="00251B94"/>
    <w:rsid w:val="00252983"/>
    <w:rsid w:val="002529EF"/>
    <w:rsid w:val="00253516"/>
    <w:rsid w:val="00253C1A"/>
    <w:rsid w:val="0025435A"/>
    <w:rsid w:val="00254A68"/>
    <w:rsid w:val="0025552F"/>
    <w:rsid w:val="00255AF4"/>
    <w:rsid w:val="00256BB4"/>
    <w:rsid w:val="00256EF7"/>
    <w:rsid w:val="00257144"/>
    <w:rsid w:val="00257CAA"/>
    <w:rsid w:val="00257E4B"/>
    <w:rsid w:val="00260035"/>
    <w:rsid w:val="00260C45"/>
    <w:rsid w:val="002610DB"/>
    <w:rsid w:val="00261674"/>
    <w:rsid w:val="00262C79"/>
    <w:rsid w:val="0026313C"/>
    <w:rsid w:val="00263EAD"/>
    <w:rsid w:val="002671BB"/>
    <w:rsid w:val="00267DF5"/>
    <w:rsid w:val="00270DAD"/>
    <w:rsid w:val="002715B7"/>
    <w:rsid w:val="0027160A"/>
    <w:rsid w:val="00272234"/>
    <w:rsid w:val="0027378F"/>
    <w:rsid w:val="0027387D"/>
    <w:rsid w:val="00274091"/>
    <w:rsid w:val="002743A1"/>
    <w:rsid w:val="00275D12"/>
    <w:rsid w:val="00276126"/>
    <w:rsid w:val="00276751"/>
    <w:rsid w:val="0027774F"/>
    <w:rsid w:val="00277983"/>
    <w:rsid w:val="00277C9A"/>
    <w:rsid w:val="0028026D"/>
    <w:rsid w:val="002803DA"/>
    <w:rsid w:val="00282289"/>
    <w:rsid w:val="00282319"/>
    <w:rsid w:val="002855F7"/>
    <w:rsid w:val="0028659A"/>
    <w:rsid w:val="00286F51"/>
    <w:rsid w:val="00287841"/>
    <w:rsid w:val="00291355"/>
    <w:rsid w:val="00293004"/>
    <w:rsid w:val="0029326E"/>
    <w:rsid w:val="00293634"/>
    <w:rsid w:val="00294488"/>
    <w:rsid w:val="002958DD"/>
    <w:rsid w:val="00295E1F"/>
    <w:rsid w:val="002965A4"/>
    <w:rsid w:val="002978B5"/>
    <w:rsid w:val="00297F3F"/>
    <w:rsid w:val="002A01BB"/>
    <w:rsid w:val="002A08B8"/>
    <w:rsid w:val="002A28E3"/>
    <w:rsid w:val="002A36A5"/>
    <w:rsid w:val="002A3766"/>
    <w:rsid w:val="002A3B72"/>
    <w:rsid w:val="002A3F48"/>
    <w:rsid w:val="002A45CD"/>
    <w:rsid w:val="002A6494"/>
    <w:rsid w:val="002A6BFD"/>
    <w:rsid w:val="002A7BE2"/>
    <w:rsid w:val="002A7D5D"/>
    <w:rsid w:val="002B129B"/>
    <w:rsid w:val="002B14CE"/>
    <w:rsid w:val="002B24BD"/>
    <w:rsid w:val="002B2C5A"/>
    <w:rsid w:val="002B3086"/>
    <w:rsid w:val="002B3BFD"/>
    <w:rsid w:val="002B4813"/>
    <w:rsid w:val="002B5136"/>
    <w:rsid w:val="002B6276"/>
    <w:rsid w:val="002B6683"/>
    <w:rsid w:val="002B6DA8"/>
    <w:rsid w:val="002B6DC4"/>
    <w:rsid w:val="002C0816"/>
    <w:rsid w:val="002C0A0D"/>
    <w:rsid w:val="002C1035"/>
    <w:rsid w:val="002C157A"/>
    <w:rsid w:val="002C18A1"/>
    <w:rsid w:val="002C24F5"/>
    <w:rsid w:val="002C2CDE"/>
    <w:rsid w:val="002C3CE1"/>
    <w:rsid w:val="002C422C"/>
    <w:rsid w:val="002C4D04"/>
    <w:rsid w:val="002C63E5"/>
    <w:rsid w:val="002C65BB"/>
    <w:rsid w:val="002C6DBD"/>
    <w:rsid w:val="002C714E"/>
    <w:rsid w:val="002C7A2E"/>
    <w:rsid w:val="002D0384"/>
    <w:rsid w:val="002D110E"/>
    <w:rsid w:val="002D11BA"/>
    <w:rsid w:val="002D1767"/>
    <w:rsid w:val="002D17CE"/>
    <w:rsid w:val="002D1A37"/>
    <w:rsid w:val="002D271E"/>
    <w:rsid w:val="002D56DD"/>
    <w:rsid w:val="002D6BBC"/>
    <w:rsid w:val="002E08F0"/>
    <w:rsid w:val="002E242C"/>
    <w:rsid w:val="002E3233"/>
    <w:rsid w:val="002E36F2"/>
    <w:rsid w:val="002E3724"/>
    <w:rsid w:val="002E4B0A"/>
    <w:rsid w:val="002E4EFC"/>
    <w:rsid w:val="002E73A6"/>
    <w:rsid w:val="002F0E71"/>
    <w:rsid w:val="002F1195"/>
    <w:rsid w:val="002F1445"/>
    <w:rsid w:val="002F18B7"/>
    <w:rsid w:val="002F19AF"/>
    <w:rsid w:val="002F1B05"/>
    <w:rsid w:val="002F2143"/>
    <w:rsid w:val="002F45CE"/>
    <w:rsid w:val="002F4D90"/>
    <w:rsid w:val="002F5936"/>
    <w:rsid w:val="002F6637"/>
    <w:rsid w:val="002F68CA"/>
    <w:rsid w:val="002F6E43"/>
    <w:rsid w:val="002F7169"/>
    <w:rsid w:val="002F7700"/>
    <w:rsid w:val="002F7B8F"/>
    <w:rsid w:val="00301542"/>
    <w:rsid w:val="00302813"/>
    <w:rsid w:val="003034AE"/>
    <w:rsid w:val="00305100"/>
    <w:rsid w:val="00306DBD"/>
    <w:rsid w:val="003070DE"/>
    <w:rsid w:val="0030767C"/>
    <w:rsid w:val="0031060A"/>
    <w:rsid w:val="003122FA"/>
    <w:rsid w:val="003129E1"/>
    <w:rsid w:val="00312A72"/>
    <w:rsid w:val="00313A7A"/>
    <w:rsid w:val="00314037"/>
    <w:rsid w:val="00314293"/>
    <w:rsid w:val="00314692"/>
    <w:rsid w:val="00314FFF"/>
    <w:rsid w:val="003207E1"/>
    <w:rsid w:val="00320C89"/>
    <w:rsid w:val="003214E6"/>
    <w:rsid w:val="00323560"/>
    <w:rsid w:val="003238E7"/>
    <w:rsid w:val="003245AA"/>
    <w:rsid w:val="00324EBA"/>
    <w:rsid w:val="0033010C"/>
    <w:rsid w:val="003305BA"/>
    <w:rsid w:val="00331319"/>
    <w:rsid w:val="00331BE1"/>
    <w:rsid w:val="003330B8"/>
    <w:rsid w:val="00333672"/>
    <w:rsid w:val="00333BD3"/>
    <w:rsid w:val="00335F08"/>
    <w:rsid w:val="00336372"/>
    <w:rsid w:val="0033715E"/>
    <w:rsid w:val="00343F8A"/>
    <w:rsid w:val="0034439B"/>
    <w:rsid w:val="00344436"/>
    <w:rsid w:val="003444C7"/>
    <w:rsid w:val="003449E2"/>
    <w:rsid w:val="0034560E"/>
    <w:rsid w:val="00346C27"/>
    <w:rsid w:val="00350FB6"/>
    <w:rsid w:val="003523B3"/>
    <w:rsid w:val="0035386A"/>
    <w:rsid w:val="00353D0D"/>
    <w:rsid w:val="00353D7D"/>
    <w:rsid w:val="0035464A"/>
    <w:rsid w:val="003548E6"/>
    <w:rsid w:val="00354D5B"/>
    <w:rsid w:val="00355264"/>
    <w:rsid w:val="00355A6E"/>
    <w:rsid w:val="00355A96"/>
    <w:rsid w:val="00355C51"/>
    <w:rsid w:val="0035630F"/>
    <w:rsid w:val="00356BC9"/>
    <w:rsid w:val="00356CCA"/>
    <w:rsid w:val="00356DD8"/>
    <w:rsid w:val="00356F30"/>
    <w:rsid w:val="003606AB"/>
    <w:rsid w:val="003606D4"/>
    <w:rsid w:val="003609B5"/>
    <w:rsid w:val="00361720"/>
    <w:rsid w:val="003624C3"/>
    <w:rsid w:val="00364158"/>
    <w:rsid w:val="0036452C"/>
    <w:rsid w:val="00364ABC"/>
    <w:rsid w:val="00364D94"/>
    <w:rsid w:val="00365741"/>
    <w:rsid w:val="00370E70"/>
    <w:rsid w:val="00371B10"/>
    <w:rsid w:val="00372413"/>
    <w:rsid w:val="0037259B"/>
    <w:rsid w:val="00373846"/>
    <w:rsid w:val="00373D47"/>
    <w:rsid w:val="00375AD7"/>
    <w:rsid w:val="00377022"/>
    <w:rsid w:val="00377897"/>
    <w:rsid w:val="0038133B"/>
    <w:rsid w:val="00381F98"/>
    <w:rsid w:val="00383892"/>
    <w:rsid w:val="00383BDF"/>
    <w:rsid w:val="00384389"/>
    <w:rsid w:val="00385F34"/>
    <w:rsid w:val="0038626C"/>
    <w:rsid w:val="0038683A"/>
    <w:rsid w:val="00390916"/>
    <w:rsid w:val="00390C8D"/>
    <w:rsid w:val="003914BC"/>
    <w:rsid w:val="00392793"/>
    <w:rsid w:val="00393A8B"/>
    <w:rsid w:val="00394B5F"/>
    <w:rsid w:val="00394E13"/>
    <w:rsid w:val="00395317"/>
    <w:rsid w:val="003959DE"/>
    <w:rsid w:val="00396029"/>
    <w:rsid w:val="003968F7"/>
    <w:rsid w:val="003974F1"/>
    <w:rsid w:val="003A0151"/>
    <w:rsid w:val="003A0195"/>
    <w:rsid w:val="003A0856"/>
    <w:rsid w:val="003A311A"/>
    <w:rsid w:val="003A4B22"/>
    <w:rsid w:val="003A4BB6"/>
    <w:rsid w:val="003A4EE3"/>
    <w:rsid w:val="003A5A04"/>
    <w:rsid w:val="003A6BDF"/>
    <w:rsid w:val="003A7AF8"/>
    <w:rsid w:val="003B05F8"/>
    <w:rsid w:val="003B2686"/>
    <w:rsid w:val="003B45AD"/>
    <w:rsid w:val="003B6A1E"/>
    <w:rsid w:val="003B6BB4"/>
    <w:rsid w:val="003B7D63"/>
    <w:rsid w:val="003C0091"/>
    <w:rsid w:val="003C0BDB"/>
    <w:rsid w:val="003C0FCB"/>
    <w:rsid w:val="003C18A0"/>
    <w:rsid w:val="003C2F6B"/>
    <w:rsid w:val="003C406C"/>
    <w:rsid w:val="003C559A"/>
    <w:rsid w:val="003C6B52"/>
    <w:rsid w:val="003D04C4"/>
    <w:rsid w:val="003D0EC8"/>
    <w:rsid w:val="003D179F"/>
    <w:rsid w:val="003D193D"/>
    <w:rsid w:val="003D3A42"/>
    <w:rsid w:val="003D3BEB"/>
    <w:rsid w:val="003D4A12"/>
    <w:rsid w:val="003D4D20"/>
    <w:rsid w:val="003D50F0"/>
    <w:rsid w:val="003D6D58"/>
    <w:rsid w:val="003D7921"/>
    <w:rsid w:val="003E03C2"/>
    <w:rsid w:val="003E075F"/>
    <w:rsid w:val="003E22A0"/>
    <w:rsid w:val="003E37E7"/>
    <w:rsid w:val="003E4E00"/>
    <w:rsid w:val="003E57B6"/>
    <w:rsid w:val="003E5C54"/>
    <w:rsid w:val="003E6CA6"/>
    <w:rsid w:val="003E705C"/>
    <w:rsid w:val="003E72E5"/>
    <w:rsid w:val="003F047B"/>
    <w:rsid w:val="003F09C9"/>
    <w:rsid w:val="003F0A35"/>
    <w:rsid w:val="003F1BA1"/>
    <w:rsid w:val="003F2574"/>
    <w:rsid w:val="003F2B25"/>
    <w:rsid w:val="003F313B"/>
    <w:rsid w:val="003F37DB"/>
    <w:rsid w:val="003F41A3"/>
    <w:rsid w:val="003F5499"/>
    <w:rsid w:val="003F6848"/>
    <w:rsid w:val="003F6C46"/>
    <w:rsid w:val="003F7B0C"/>
    <w:rsid w:val="003F7B6D"/>
    <w:rsid w:val="004007C4"/>
    <w:rsid w:val="00403263"/>
    <w:rsid w:val="00403A74"/>
    <w:rsid w:val="0040460F"/>
    <w:rsid w:val="0040504B"/>
    <w:rsid w:val="0040534F"/>
    <w:rsid w:val="00405941"/>
    <w:rsid w:val="00405AC0"/>
    <w:rsid w:val="00410E33"/>
    <w:rsid w:val="0041194E"/>
    <w:rsid w:val="00411B7D"/>
    <w:rsid w:val="00411D1D"/>
    <w:rsid w:val="00412AA5"/>
    <w:rsid w:val="004130A1"/>
    <w:rsid w:val="004133B3"/>
    <w:rsid w:val="00413638"/>
    <w:rsid w:val="00413C10"/>
    <w:rsid w:val="00414A4E"/>
    <w:rsid w:val="00414B6D"/>
    <w:rsid w:val="004161ED"/>
    <w:rsid w:val="004165CB"/>
    <w:rsid w:val="004173C6"/>
    <w:rsid w:val="00417A90"/>
    <w:rsid w:val="004201E9"/>
    <w:rsid w:val="004202F3"/>
    <w:rsid w:val="004203E7"/>
    <w:rsid w:val="004206F2"/>
    <w:rsid w:val="00420E7F"/>
    <w:rsid w:val="004222F9"/>
    <w:rsid w:val="00422E1A"/>
    <w:rsid w:val="0042328B"/>
    <w:rsid w:val="00423830"/>
    <w:rsid w:val="00423FAF"/>
    <w:rsid w:val="0042736B"/>
    <w:rsid w:val="00427636"/>
    <w:rsid w:val="00430131"/>
    <w:rsid w:val="0043053F"/>
    <w:rsid w:val="00430A3E"/>
    <w:rsid w:val="00432CDC"/>
    <w:rsid w:val="004331E4"/>
    <w:rsid w:val="00434E7E"/>
    <w:rsid w:val="0043546D"/>
    <w:rsid w:val="00436F33"/>
    <w:rsid w:val="0043721D"/>
    <w:rsid w:val="004378F5"/>
    <w:rsid w:val="00437DDB"/>
    <w:rsid w:val="00440A9B"/>
    <w:rsid w:val="00440B62"/>
    <w:rsid w:val="00441F9F"/>
    <w:rsid w:val="00442237"/>
    <w:rsid w:val="00442E85"/>
    <w:rsid w:val="00443088"/>
    <w:rsid w:val="00444EA7"/>
    <w:rsid w:val="004460BD"/>
    <w:rsid w:val="004471B2"/>
    <w:rsid w:val="0044788D"/>
    <w:rsid w:val="00447E51"/>
    <w:rsid w:val="004501D4"/>
    <w:rsid w:val="0045180D"/>
    <w:rsid w:val="004525A6"/>
    <w:rsid w:val="00452615"/>
    <w:rsid w:val="0045412E"/>
    <w:rsid w:val="004547C6"/>
    <w:rsid w:val="00454873"/>
    <w:rsid w:val="00455A3F"/>
    <w:rsid w:val="00457FF2"/>
    <w:rsid w:val="00462681"/>
    <w:rsid w:val="004627AD"/>
    <w:rsid w:val="00462AB1"/>
    <w:rsid w:val="00463807"/>
    <w:rsid w:val="004646EE"/>
    <w:rsid w:val="0046477C"/>
    <w:rsid w:val="00465524"/>
    <w:rsid w:val="00466712"/>
    <w:rsid w:val="00466A1A"/>
    <w:rsid w:val="00467742"/>
    <w:rsid w:val="00470A94"/>
    <w:rsid w:val="00470CE6"/>
    <w:rsid w:val="00470DE5"/>
    <w:rsid w:val="00472D33"/>
    <w:rsid w:val="00473C24"/>
    <w:rsid w:val="00474B95"/>
    <w:rsid w:val="00476CE6"/>
    <w:rsid w:val="00477FA4"/>
    <w:rsid w:val="004806C5"/>
    <w:rsid w:val="00480D32"/>
    <w:rsid w:val="0048501E"/>
    <w:rsid w:val="004850DA"/>
    <w:rsid w:val="0048607D"/>
    <w:rsid w:val="00486763"/>
    <w:rsid w:val="00487287"/>
    <w:rsid w:val="00487C99"/>
    <w:rsid w:val="0049002A"/>
    <w:rsid w:val="00490A62"/>
    <w:rsid w:val="004910D2"/>
    <w:rsid w:val="004916AC"/>
    <w:rsid w:val="00491977"/>
    <w:rsid w:val="00492351"/>
    <w:rsid w:val="004931D1"/>
    <w:rsid w:val="00493D56"/>
    <w:rsid w:val="0049651D"/>
    <w:rsid w:val="004966F2"/>
    <w:rsid w:val="00496D7E"/>
    <w:rsid w:val="00497910"/>
    <w:rsid w:val="00497DE0"/>
    <w:rsid w:val="004A05F2"/>
    <w:rsid w:val="004A0E99"/>
    <w:rsid w:val="004A1294"/>
    <w:rsid w:val="004A17C5"/>
    <w:rsid w:val="004A1D00"/>
    <w:rsid w:val="004A1E3F"/>
    <w:rsid w:val="004A22FB"/>
    <w:rsid w:val="004A2900"/>
    <w:rsid w:val="004A2A6A"/>
    <w:rsid w:val="004A3319"/>
    <w:rsid w:val="004A446E"/>
    <w:rsid w:val="004A4A0D"/>
    <w:rsid w:val="004A5240"/>
    <w:rsid w:val="004A57DB"/>
    <w:rsid w:val="004A6348"/>
    <w:rsid w:val="004A762A"/>
    <w:rsid w:val="004B1B62"/>
    <w:rsid w:val="004B1F52"/>
    <w:rsid w:val="004B2F6D"/>
    <w:rsid w:val="004B4003"/>
    <w:rsid w:val="004B4504"/>
    <w:rsid w:val="004B5123"/>
    <w:rsid w:val="004B5390"/>
    <w:rsid w:val="004B626E"/>
    <w:rsid w:val="004B6F5D"/>
    <w:rsid w:val="004C00C7"/>
    <w:rsid w:val="004C0565"/>
    <w:rsid w:val="004C1BCD"/>
    <w:rsid w:val="004C2AEC"/>
    <w:rsid w:val="004C30E4"/>
    <w:rsid w:val="004C4724"/>
    <w:rsid w:val="004C5792"/>
    <w:rsid w:val="004C5833"/>
    <w:rsid w:val="004C5BA8"/>
    <w:rsid w:val="004C60E3"/>
    <w:rsid w:val="004C6FA5"/>
    <w:rsid w:val="004C704F"/>
    <w:rsid w:val="004C75CC"/>
    <w:rsid w:val="004C7A61"/>
    <w:rsid w:val="004C7FA8"/>
    <w:rsid w:val="004D02D8"/>
    <w:rsid w:val="004D05C9"/>
    <w:rsid w:val="004D0949"/>
    <w:rsid w:val="004D1990"/>
    <w:rsid w:val="004D3640"/>
    <w:rsid w:val="004D43B3"/>
    <w:rsid w:val="004D43BB"/>
    <w:rsid w:val="004D763F"/>
    <w:rsid w:val="004D78E0"/>
    <w:rsid w:val="004D7F31"/>
    <w:rsid w:val="004E08F8"/>
    <w:rsid w:val="004E3047"/>
    <w:rsid w:val="004E417F"/>
    <w:rsid w:val="004E4395"/>
    <w:rsid w:val="004E466A"/>
    <w:rsid w:val="004E4ABC"/>
    <w:rsid w:val="004E4DC0"/>
    <w:rsid w:val="004E5483"/>
    <w:rsid w:val="004E60A8"/>
    <w:rsid w:val="004E6ABD"/>
    <w:rsid w:val="004E71F2"/>
    <w:rsid w:val="004E79C5"/>
    <w:rsid w:val="004F07FE"/>
    <w:rsid w:val="004F08B5"/>
    <w:rsid w:val="004F0A67"/>
    <w:rsid w:val="004F1337"/>
    <w:rsid w:val="004F1FCC"/>
    <w:rsid w:val="004F28CE"/>
    <w:rsid w:val="004F2A15"/>
    <w:rsid w:val="004F4705"/>
    <w:rsid w:val="004F4D9B"/>
    <w:rsid w:val="004F57AD"/>
    <w:rsid w:val="004F6303"/>
    <w:rsid w:val="004F643B"/>
    <w:rsid w:val="004F739C"/>
    <w:rsid w:val="00500077"/>
    <w:rsid w:val="005014AF"/>
    <w:rsid w:val="005015B3"/>
    <w:rsid w:val="00502AEF"/>
    <w:rsid w:val="0050313B"/>
    <w:rsid w:val="00504564"/>
    <w:rsid w:val="0050464C"/>
    <w:rsid w:val="005050EB"/>
    <w:rsid w:val="00505964"/>
    <w:rsid w:val="00506B79"/>
    <w:rsid w:val="00510025"/>
    <w:rsid w:val="0051023B"/>
    <w:rsid w:val="00510691"/>
    <w:rsid w:val="005110E2"/>
    <w:rsid w:val="00511EEB"/>
    <w:rsid w:val="00512312"/>
    <w:rsid w:val="005125B8"/>
    <w:rsid w:val="00513A9D"/>
    <w:rsid w:val="00513EEA"/>
    <w:rsid w:val="0051441C"/>
    <w:rsid w:val="00517268"/>
    <w:rsid w:val="00517D22"/>
    <w:rsid w:val="00517F6E"/>
    <w:rsid w:val="00520F12"/>
    <w:rsid w:val="00521B1C"/>
    <w:rsid w:val="00522B1F"/>
    <w:rsid w:val="0052302B"/>
    <w:rsid w:val="00523ADD"/>
    <w:rsid w:val="00524F10"/>
    <w:rsid w:val="00525042"/>
    <w:rsid w:val="005253F7"/>
    <w:rsid w:val="0052579A"/>
    <w:rsid w:val="00525886"/>
    <w:rsid w:val="0052723B"/>
    <w:rsid w:val="0052756A"/>
    <w:rsid w:val="00530E79"/>
    <w:rsid w:val="00530E96"/>
    <w:rsid w:val="0053149D"/>
    <w:rsid w:val="00531FDA"/>
    <w:rsid w:val="00533227"/>
    <w:rsid w:val="00533B7C"/>
    <w:rsid w:val="00534180"/>
    <w:rsid w:val="0053499D"/>
    <w:rsid w:val="0054000D"/>
    <w:rsid w:val="0054053E"/>
    <w:rsid w:val="00540F58"/>
    <w:rsid w:val="0054102E"/>
    <w:rsid w:val="00542224"/>
    <w:rsid w:val="0054313D"/>
    <w:rsid w:val="0054353A"/>
    <w:rsid w:val="00543F3E"/>
    <w:rsid w:val="0054497A"/>
    <w:rsid w:val="00544C0C"/>
    <w:rsid w:val="00545C23"/>
    <w:rsid w:val="00546B59"/>
    <w:rsid w:val="00547538"/>
    <w:rsid w:val="00550A2B"/>
    <w:rsid w:val="005537AB"/>
    <w:rsid w:val="005551EE"/>
    <w:rsid w:val="00555671"/>
    <w:rsid w:val="005558B4"/>
    <w:rsid w:val="00556CB7"/>
    <w:rsid w:val="00556D97"/>
    <w:rsid w:val="00557874"/>
    <w:rsid w:val="00560472"/>
    <w:rsid w:val="00560AB0"/>
    <w:rsid w:val="00560D36"/>
    <w:rsid w:val="00562E51"/>
    <w:rsid w:val="005631ED"/>
    <w:rsid w:val="005634F0"/>
    <w:rsid w:val="00564783"/>
    <w:rsid w:val="00564D16"/>
    <w:rsid w:val="00565DA3"/>
    <w:rsid w:val="005678A6"/>
    <w:rsid w:val="00567FD4"/>
    <w:rsid w:val="005701DB"/>
    <w:rsid w:val="005721B9"/>
    <w:rsid w:val="005725B8"/>
    <w:rsid w:val="00572B52"/>
    <w:rsid w:val="0057375A"/>
    <w:rsid w:val="00573B81"/>
    <w:rsid w:val="005742DF"/>
    <w:rsid w:val="00574A89"/>
    <w:rsid w:val="00574D98"/>
    <w:rsid w:val="00575588"/>
    <w:rsid w:val="00576B00"/>
    <w:rsid w:val="00577A42"/>
    <w:rsid w:val="00577F44"/>
    <w:rsid w:val="00580955"/>
    <w:rsid w:val="0058121B"/>
    <w:rsid w:val="00581849"/>
    <w:rsid w:val="00581C54"/>
    <w:rsid w:val="00583176"/>
    <w:rsid w:val="0058417C"/>
    <w:rsid w:val="00584D6A"/>
    <w:rsid w:val="0058523B"/>
    <w:rsid w:val="00585BC7"/>
    <w:rsid w:val="00585DFD"/>
    <w:rsid w:val="00586EDB"/>
    <w:rsid w:val="00587218"/>
    <w:rsid w:val="005902AA"/>
    <w:rsid w:val="00590D21"/>
    <w:rsid w:val="005917B9"/>
    <w:rsid w:val="00592DC8"/>
    <w:rsid w:val="00593569"/>
    <w:rsid w:val="00593C3E"/>
    <w:rsid w:val="005940D1"/>
    <w:rsid w:val="005948C3"/>
    <w:rsid w:val="005952F4"/>
    <w:rsid w:val="005957D0"/>
    <w:rsid w:val="005960B6"/>
    <w:rsid w:val="00596885"/>
    <w:rsid w:val="00596930"/>
    <w:rsid w:val="00597A9F"/>
    <w:rsid w:val="005A1361"/>
    <w:rsid w:val="005A1E3B"/>
    <w:rsid w:val="005A2563"/>
    <w:rsid w:val="005A25BE"/>
    <w:rsid w:val="005A294A"/>
    <w:rsid w:val="005A3B89"/>
    <w:rsid w:val="005A3E58"/>
    <w:rsid w:val="005A625B"/>
    <w:rsid w:val="005A68D4"/>
    <w:rsid w:val="005A72CD"/>
    <w:rsid w:val="005A7A22"/>
    <w:rsid w:val="005A7EFB"/>
    <w:rsid w:val="005B0B0E"/>
    <w:rsid w:val="005B22E4"/>
    <w:rsid w:val="005B3088"/>
    <w:rsid w:val="005B39A8"/>
    <w:rsid w:val="005B3C55"/>
    <w:rsid w:val="005B4046"/>
    <w:rsid w:val="005B6921"/>
    <w:rsid w:val="005B7640"/>
    <w:rsid w:val="005C068C"/>
    <w:rsid w:val="005C1DD1"/>
    <w:rsid w:val="005C2644"/>
    <w:rsid w:val="005C3745"/>
    <w:rsid w:val="005C3B1F"/>
    <w:rsid w:val="005C53A6"/>
    <w:rsid w:val="005C555A"/>
    <w:rsid w:val="005C5E6B"/>
    <w:rsid w:val="005C7687"/>
    <w:rsid w:val="005D0281"/>
    <w:rsid w:val="005D16C8"/>
    <w:rsid w:val="005D2B04"/>
    <w:rsid w:val="005D38E3"/>
    <w:rsid w:val="005D41E4"/>
    <w:rsid w:val="005D4E5A"/>
    <w:rsid w:val="005D51BB"/>
    <w:rsid w:val="005D5E0D"/>
    <w:rsid w:val="005D61B4"/>
    <w:rsid w:val="005D65D0"/>
    <w:rsid w:val="005D6C92"/>
    <w:rsid w:val="005D7F81"/>
    <w:rsid w:val="005E044E"/>
    <w:rsid w:val="005E0560"/>
    <w:rsid w:val="005E0697"/>
    <w:rsid w:val="005E0BCE"/>
    <w:rsid w:val="005E0EA9"/>
    <w:rsid w:val="005E10A1"/>
    <w:rsid w:val="005E2B7E"/>
    <w:rsid w:val="005E4441"/>
    <w:rsid w:val="005E45D0"/>
    <w:rsid w:val="005E5FA5"/>
    <w:rsid w:val="005E609E"/>
    <w:rsid w:val="005E60AD"/>
    <w:rsid w:val="005E6854"/>
    <w:rsid w:val="005F0359"/>
    <w:rsid w:val="005F0602"/>
    <w:rsid w:val="005F1410"/>
    <w:rsid w:val="005F14BA"/>
    <w:rsid w:val="005F1C0B"/>
    <w:rsid w:val="005F3DC3"/>
    <w:rsid w:val="005F4393"/>
    <w:rsid w:val="005F546E"/>
    <w:rsid w:val="005F6AF5"/>
    <w:rsid w:val="005F6C02"/>
    <w:rsid w:val="005F7299"/>
    <w:rsid w:val="005F75A9"/>
    <w:rsid w:val="006003B2"/>
    <w:rsid w:val="00601C3D"/>
    <w:rsid w:val="00601D96"/>
    <w:rsid w:val="00601DBA"/>
    <w:rsid w:val="0060241D"/>
    <w:rsid w:val="0060383B"/>
    <w:rsid w:val="00603919"/>
    <w:rsid w:val="00603A2C"/>
    <w:rsid w:val="00603C18"/>
    <w:rsid w:val="006052CB"/>
    <w:rsid w:val="006066F5"/>
    <w:rsid w:val="006068C4"/>
    <w:rsid w:val="00606C63"/>
    <w:rsid w:val="00610DBD"/>
    <w:rsid w:val="00612028"/>
    <w:rsid w:val="00612359"/>
    <w:rsid w:val="006125BB"/>
    <w:rsid w:val="00613251"/>
    <w:rsid w:val="006134B7"/>
    <w:rsid w:val="00614F79"/>
    <w:rsid w:val="0061565F"/>
    <w:rsid w:val="00616632"/>
    <w:rsid w:val="00616FE8"/>
    <w:rsid w:val="00617F83"/>
    <w:rsid w:val="00617F99"/>
    <w:rsid w:val="00620377"/>
    <w:rsid w:val="006206CD"/>
    <w:rsid w:val="00620BAF"/>
    <w:rsid w:val="00621ECA"/>
    <w:rsid w:val="006246C4"/>
    <w:rsid w:val="00624BD7"/>
    <w:rsid w:val="00625E08"/>
    <w:rsid w:val="00625E9D"/>
    <w:rsid w:val="00626B50"/>
    <w:rsid w:val="00627118"/>
    <w:rsid w:val="00627DCF"/>
    <w:rsid w:val="00630A73"/>
    <w:rsid w:val="00631032"/>
    <w:rsid w:val="0063502E"/>
    <w:rsid w:val="00637918"/>
    <w:rsid w:val="0064056F"/>
    <w:rsid w:val="006410CC"/>
    <w:rsid w:val="00641E5E"/>
    <w:rsid w:val="00643233"/>
    <w:rsid w:val="0064400B"/>
    <w:rsid w:val="00645243"/>
    <w:rsid w:val="00645BA7"/>
    <w:rsid w:val="0064783F"/>
    <w:rsid w:val="0065059D"/>
    <w:rsid w:val="00650BB3"/>
    <w:rsid w:val="00650DA4"/>
    <w:rsid w:val="00651042"/>
    <w:rsid w:val="0065116D"/>
    <w:rsid w:val="0065145C"/>
    <w:rsid w:val="00652259"/>
    <w:rsid w:val="0065469D"/>
    <w:rsid w:val="00654CC4"/>
    <w:rsid w:val="00654EE0"/>
    <w:rsid w:val="0065502E"/>
    <w:rsid w:val="006617E4"/>
    <w:rsid w:val="00662D9F"/>
    <w:rsid w:val="00663258"/>
    <w:rsid w:val="00663DD7"/>
    <w:rsid w:val="00664B09"/>
    <w:rsid w:val="00664C7B"/>
    <w:rsid w:val="00666633"/>
    <w:rsid w:val="0066664E"/>
    <w:rsid w:val="006672FD"/>
    <w:rsid w:val="00667511"/>
    <w:rsid w:val="006679DE"/>
    <w:rsid w:val="006703A4"/>
    <w:rsid w:val="006704DC"/>
    <w:rsid w:val="0067059A"/>
    <w:rsid w:val="00671B7A"/>
    <w:rsid w:val="00672717"/>
    <w:rsid w:val="00672A9C"/>
    <w:rsid w:val="006752DE"/>
    <w:rsid w:val="00675E35"/>
    <w:rsid w:val="006760AF"/>
    <w:rsid w:val="00676A71"/>
    <w:rsid w:val="006777ED"/>
    <w:rsid w:val="0068034B"/>
    <w:rsid w:val="00681F7C"/>
    <w:rsid w:val="0068223A"/>
    <w:rsid w:val="006827B4"/>
    <w:rsid w:val="00682D3A"/>
    <w:rsid w:val="00682FCA"/>
    <w:rsid w:val="00683EBC"/>
    <w:rsid w:val="00684130"/>
    <w:rsid w:val="00684633"/>
    <w:rsid w:val="0068571E"/>
    <w:rsid w:val="00685BF1"/>
    <w:rsid w:val="00685C6E"/>
    <w:rsid w:val="00686F36"/>
    <w:rsid w:val="00687D62"/>
    <w:rsid w:val="00687EF7"/>
    <w:rsid w:val="00690E40"/>
    <w:rsid w:val="00690FF5"/>
    <w:rsid w:val="00692041"/>
    <w:rsid w:val="00692458"/>
    <w:rsid w:val="00692B3C"/>
    <w:rsid w:val="00693AA8"/>
    <w:rsid w:val="00693ED9"/>
    <w:rsid w:val="00694564"/>
    <w:rsid w:val="00694E4C"/>
    <w:rsid w:val="00694FC4"/>
    <w:rsid w:val="00696DC3"/>
    <w:rsid w:val="006A0448"/>
    <w:rsid w:val="006A0F49"/>
    <w:rsid w:val="006A2924"/>
    <w:rsid w:val="006A300A"/>
    <w:rsid w:val="006A3A21"/>
    <w:rsid w:val="006A4F9C"/>
    <w:rsid w:val="006A5447"/>
    <w:rsid w:val="006B04BE"/>
    <w:rsid w:val="006B1ADF"/>
    <w:rsid w:val="006B2576"/>
    <w:rsid w:val="006B2661"/>
    <w:rsid w:val="006B28B7"/>
    <w:rsid w:val="006B36DB"/>
    <w:rsid w:val="006B3EDB"/>
    <w:rsid w:val="006B3F09"/>
    <w:rsid w:val="006B3FB9"/>
    <w:rsid w:val="006B4099"/>
    <w:rsid w:val="006B472D"/>
    <w:rsid w:val="006B51D3"/>
    <w:rsid w:val="006B5480"/>
    <w:rsid w:val="006B5847"/>
    <w:rsid w:val="006B58C5"/>
    <w:rsid w:val="006B6548"/>
    <w:rsid w:val="006C1902"/>
    <w:rsid w:val="006C1F31"/>
    <w:rsid w:val="006C2143"/>
    <w:rsid w:val="006C218B"/>
    <w:rsid w:val="006C2274"/>
    <w:rsid w:val="006C2C82"/>
    <w:rsid w:val="006C2EDC"/>
    <w:rsid w:val="006C3864"/>
    <w:rsid w:val="006C3AE3"/>
    <w:rsid w:val="006C4861"/>
    <w:rsid w:val="006C4B8A"/>
    <w:rsid w:val="006C6627"/>
    <w:rsid w:val="006C6D5D"/>
    <w:rsid w:val="006C7386"/>
    <w:rsid w:val="006C7697"/>
    <w:rsid w:val="006C7DC9"/>
    <w:rsid w:val="006C7ED2"/>
    <w:rsid w:val="006D02E8"/>
    <w:rsid w:val="006D03C2"/>
    <w:rsid w:val="006D053D"/>
    <w:rsid w:val="006D0D4C"/>
    <w:rsid w:val="006D1788"/>
    <w:rsid w:val="006D18D3"/>
    <w:rsid w:val="006D1A86"/>
    <w:rsid w:val="006D1E68"/>
    <w:rsid w:val="006D23ED"/>
    <w:rsid w:val="006D45FD"/>
    <w:rsid w:val="006D50B1"/>
    <w:rsid w:val="006D5823"/>
    <w:rsid w:val="006D61C9"/>
    <w:rsid w:val="006D62B6"/>
    <w:rsid w:val="006E0C8D"/>
    <w:rsid w:val="006E2FE7"/>
    <w:rsid w:val="006E32A3"/>
    <w:rsid w:val="006E34D2"/>
    <w:rsid w:val="006E3A66"/>
    <w:rsid w:val="006E5138"/>
    <w:rsid w:val="006E626E"/>
    <w:rsid w:val="006E630F"/>
    <w:rsid w:val="006E6D86"/>
    <w:rsid w:val="006E6E88"/>
    <w:rsid w:val="006E7C8A"/>
    <w:rsid w:val="006F0458"/>
    <w:rsid w:val="006F1B6D"/>
    <w:rsid w:val="006F1DAF"/>
    <w:rsid w:val="006F289C"/>
    <w:rsid w:val="006F2E0D"/>
    <w:rsid w:val="006F2F7E"/>
    <w:rsid w:val="006F35BB"/>
    <w:rsid w:val="006F37F0"/>
    <w:rsid w:val="006F3D8C"/>
    <w:rsid w:val="006F3E36"/>
    <w:rsid w:val="006F4774"/>
    <w:rsid w:val="006F53DA"/>
    <w:rsid w:val="006F65C4"/>
    <w:rsid w:val="006F7302"/>
    <w:rsid w:val="0070029A"/>
    <w:rsid w:val="00701934"/>
    <w:rsid w:val="00701CAE"/>
    <w:rsid w:val="00702B4D"/>
    <w:rsid w:val="00702C8C"/>
    <w:rsid w:val="007046BB"/>
    <w:rsid w:val="0070520B"/>
    <w:rsid w:val="0070575C"/>
    <w:rsid w:val="00705900"/>
    <w:rsid w:val="00706E7D"/>
    <w:rsid w:val="00707118"/>
    <w:rsid w:val="00707616"/>
    <w:rsid w:val="00710D82"/>
    <w:rsid w:val="00710E40"/>
    <w:rsid w:val="00711169"/>
    <w:rsid w:val="00711A82"/>
    <w:rsid w:val="00711C66"/>
    <w:rsid w:val="00712748"/>
    <w:rsid w:val="00712A91"/>
    <w:rsid w:val="00713E6B"/>
    <w:rsid w:val="00713F5D"/>
    <w:rsid w:val="0071497F"/>
    <w:rsid w:val="00714A47"/>
    <w:rsid w:val="007168A2"/>
    <w:rsid w:val="00717165"/>
    <w:rsid w:val="007171C6"/>
    <w:rsid w:val="007204D1"/>
    <w:rsid w:val="0072074E"/>
    <w:rsid w:val="007220AB"/>
    <w:rsid w:val="007230C1"/>
    <w:rsid w:val="00723A85"/>
    <w:rsid w:val="007244BB"/>
    <w:rsid w:val="007247FB"/>
    <w:rsid w:val="0072622C"/>
    <w:rsid w:val="007265CE"/>
    <w:rsid w:val="00727807"/>
    <w:rsid w:val="00727C1B"/>
    <w:rsid w:val="00727D0C"/>
    <w:rsid w:val="0073164B"/>
    <w:rsid w:val="007317C5"/>
    <w:rsid w:val="00731D8B"/>
    <w:rsid w:val="0073231F"/>
    <w:rsid w:val="00732EBA"/>
    <w:rsid w:val="0073325C"/>
    <w:rsid w:val="00733A4D"/>
    <w:rsid w:val="00733F01"/>
    <w:rsid w:val="00733FF7"/>
    <w:rsid w:val="007341BF"/>
    <w:rsid w:val="0073429A"/>
    <w:rsid w:val="0073576F"/>
    <w:rsid w:val="00735D64"/>
    <w:rsid w:val="00736447"/>
    <w:rsid w:val="0073655F"/>
    <w:rsid w:val="007365BC"/>
    <w:rsid w:val="00736B91"/>
    <w:rsid w:val="00737065"/>
    <w:rsid w:val="007373EA"/>
    <w:rsid w:val="00737497"/>
    <w:rsid w:val="007375BC"/>
    <w:rsid w:val="00740573"/>
    <w:rsid w:val="00740DBD"/>
    <w:rsid w:val="00740F77"/>
    <w:rsid w:val="00741255"/>
    <w:rsid w:val="00741AFD"/>
    <w:rsid w:val="00741D1E"/>
    <w:rsid w:val="0074216F"/>
    <w:rsid w:val="0074347A"/>
    <w:rsid w:val="00743529"/>
    <w:rsid w:val="007435FB"/>
    <w:rsid w:val="00744850"/>
    <w:rsid w:val="00744E82"/>
    <w:rsid w:val="00744ED4"/>
    <w:rsid w:val="007452E8"/>
    <w:rsid w:val="00746857"/>
    <w:rsid w:val="00750172"/>
    <w:rsid w:val="007513C2"/>
    <w:rsid w:val="00753399"/>
    <w:rsid w:val="0075389D"/>
    <w:rsid w:val="00753953"/>
    <w:rsid w:val="00754F9F"/>
    <w:rsid w:val="00755CB0"/>
    <w:rsid w:val="00756A40"/>
    <w:rsid w:val="00756D15"/>
    <w:rsid w:val="00756D64"/>
    <w:rsid w:val="00757785"/>
    <w:rsid w:val="00757F2E"/>
    <w:rsid w:val="00761E45"/>
    <w:rsid w:val="0076274B"/>
    <w:rsid w:val="00763FA3"/>
    <w:rsid w:val="0076445A"/>
    <w:rsid w:val="00764A62"/>
    <w:rsid w:val="007663CB"/>
    <w:rsid w:val="00766938"/>
    <w:rsid w:val="00766941"/>
    <w:rsid w:val="00767833"/>
    <w:rsid w:val="0077095B"/>
    <w:rsid w:val="007718D9"/>
    <w:rsid w:val="00771B1A"/>
    <w:rsid w:val="0077228F"/>
    <w:rsid w:val="00773094"/>
    <w:rsid w:val="00774726"/>
    <w:rsid w:val="00775BD7"/>
    <w:rsid w:val="00776F4F"/>
    <w:rsid w:val="00783D0B"/>
    <w:rsid w:val="00784B6E"/>
    <w:rsid w:val="00786FAC"/>
    <w:rsid w:val="00791191"/>
    <w:rsid w:val="00792A1C"/>
    <w:rsid w:val="00792A33"/>
    <w:rsid w:val="00793433"/>
    <w:rsid w:val="007939CB"/>
    <w:rsid w:val="00793CB3"/>
    <w:rsid w:val="0079489E"/>
    <w:rsid w:val="00795B93"/>
    <w:rsid w:val="00795BC2"/>
    <w:rsid w:val="007961E4"/>
    <w:rsid w:val="00796E96"/>
    <w:rsid w:val="007971ED"/>
    <w:rsid w:val="007974C2"/>
    <w:rsid w:val="00797875"/>
    <w:rsid w:val="007A06F6"/>
    <w:rsid w:val="007A1B69"/>
    <w:rsid w:val="007A1D0E"/>
    <w:rsid w:val="007A2D0E"/>
    <w:rsid w:val="007A5F46"/>
    <w:rsid w:val="007A6F0C"/>
    <w:rsid w:val="007A79B3"/>
    <w:rsid w:val="007B071E"/>
    <w:rsid w:val="007B0DF3"/>
    <w:rsid w:val="007B1897"/>
    <w:rsid w:val="007B1F42"/>
    <w:rsid w:val="007B33D4"/>
    <w:rsid w:val="007B3D2F"/>
    <w:rsid w:val="007B520E"/>
    <w:rsid w:val="007B5D89"/>
    <w:rsid w:val="007B62A9"/>
    <w:rsid w:val="007B62EE"/>
    <w:rsid w:val="007B717B"/>
    <w:rsid w:val="007C0579"/>
    <w:rsid w:val="007C1A42"/>
    <w:rsid w:val="007C3EF8"/>
    <w:rsid w:val="007C4C38"/>
    <w:rsid w:val="007C4C87"/>
    <w:rsid w:val="007C4F72"/>
    <w:rsid w:val="007C5250"/>
    <w:rsid w:val="007C729F"/>
    <w:rsid w:val="007C7D9F"/>
    <w:rsid w:val="007D0A71"/>
    <w:rsid w:val="007D10CA"/>
    <w:rsid w:val="007D11C3"/>
    <w:rsid w:val="007D1B32"/>
    <w:rsid w:val="007D1E52"/>
    <w:rsid w:val="007D2A70"/>
    <w:rsid w:val="007D31FB"/>
    <w:rsid w:val="007D3202"/>
    <w:rsid w:val="007D3A89"/>
    <w:rsid w:val="007D4353"/>
    <w:rsid w:val="007D45D6"/>
    <w:rsid w:val="007D5C4A"/>
    <w:rsid w:val="007D622D"/>
    <w:rsid w:val="007D6298"/>
    <w:rsid w:val="007D72C2"/>
    <w:rsid w:val="007D7A9F"/>
    <w:rsid w:val="007E2D76"/>
    <w:rsid w:val="007E3264"/>
    <w:rsid w:val="007E3A98"/>
    <w:rsid w:val="007E4138"/>
    <w:rsid w:val="007E4B84"/>
    <w:rsid w:val="007E4C44"/>
    <w:rsid w:val="007E50DA"/>
    <w:rsid w:val="007E63E6"/>
    <w:rsid w:val="007E6765"/>
    <w:rsid w:val="007E7497"/>
    <w:rsid w:val="007F353B"/>
    <w:rsid w:val="007F3A65"/>
    <w:rsid w:val="007F3F56"/>
    <w:rsid w:val="007F5036"/>
    <w:rsid w:val="007F562C"/>
    <w:rsid w:val="007F5954"/>
    <w:rsid w:val="007F6C6F"/>
    <w:rsid w:val="00801114"/>
    <w:rsid w:val="008012CA"/>
    <w:rsid w:val="00801629"/>
    <w:rsid w:val="0080199C"/>
    <w:rsid w:val="00802026"/>
    <w:rsid w:val="008026F3"/>
    <w:rsid w:val="0080427A"/>
    <w:rsid w:val="008054F9"/>
    <w:rsid w:val="00806456"/>
    <w:rsid w:val="00807AD0"/>
    <w:rsid w:val="00811505"/>
    <w:rsid w:val="00811876"/>
    <w:rsid w:val="0081214C"/>
    <w:rsid w:val="00812889"/>
    <w:rsid w:val="00813A7D"/>
    <w:rsid w:val="0081544B"/>
    <w:rsid w:val="00815606"/>
    <w:rsid w:val="008168EE"/>
    <w:rsid w:val="0081748C"/>
    <w:rsid w:val="00821527"/>
    <w:rsid w:val="0082163A"/>
    <w:rsid w:val="008221B7"/>
    <w:rsid w:val="00822426"/>
    <w:rsid w:val="008226C0"/>
    <w:rsid w:val="0082297D"/>
    <w:rsid w:val="008279F8"/>
    <w:rsid w:val="00827A97"/>
    <w:rsid w:val="00827FB1"/>
    <w:rsid w:val="00832922"/>
    <w:rsid w:val="00833A1A"/>
    <w:rsid w:val="008345EB"/>
    <w:rsid w:val="00834D65"/>
    <w:rsid w:val="008354CF"/>
    <w:rsid w:val="008355A5"/>
    <w:rsid w:val="008356E1"/>
    <w:rsid w:val="00835C37"/>
    <w:rsid w:val="0083691A"/>
    <w:rsid w:val="00836BE9"/>
    <w:rsid w:val="0083724B"/>
    <w:rsid w:val="008402A5"/>
    <w:rsid w:val="008402F0"/>
    <w:rsid w:val="00840450"/>
    <w:rsid w:val="00841426"/>
    <w:rsid w:val="00841B06"/>
    <w:rsid w:val="00842D21"/>
    <w:rsid w:val="00843882"/>
    <w:rsid w:val="00844E01"/>
    <w:rsid w:val="0084604F"/>
    <w:rsid w:val="00846E8A"/>
    <w:rsid w:val="0084770C"/>
    <w:rsid w:val="008512FE"/>
    <w:rsid w:val="00852F68"/>
    <w:rsid w:val="008532C1"/>
    <w:rsid w:val="00853A57"/>
    <w:rsid w:val="00853FA0"/>
    <w:rsid w:val="0085550C"/>
    <w:rsid w:val="008556AA"/>
    <w:rsid w:val="00855718"/>
    <w:rsid w:val="00855D19"/>
    <w:rsid w:val="00855FF6"/>
    <w:rsid w:val="00856061"/>
    <w:rsid w:val="00856FA1"/>
    <w:rsid w:val="00857F6A"/>
    <w:rsid w:val="00860142"/>
    <w:rsid w:val="0086096D"/>
    <w:rsid w:val="0086169E"/>
    <w:rsid w:val="008625E8"/>
    <w:rsid w:val="008629A1"/>
    <w:rsid w:val="00863350"/>
    <w:rsid w:val="00864885"/>
    <w:rsid w:val="00864E97"/>
    <w:rsid w:val="0086540F"/>
    <w:rsid w:val="0086579B"/>
    <w:rsid w:val="00865D4E"/>
    <w:rsid w:val="008666BC"/>
    <w:rsid w:val="00867BF3"/>
    <w:rsid w:val="00867F6F"/>
    <w:rsid w:val="00870D81"/>
    <w:rsid w:val="008713E2"/>
    <w:rsid w:val="00873128"/>
    <w:rsid w:val="00874491"/>
    <w:rsid w:val="008744B1"/>
    <w:rsid w:val="00874718"/>
    <w:rsid w:val="008753CE"/>
    <w:rsid w:val="00875747"/>
    <w:rsid w:val="00876330"/>
    <w:rsid w:val="008769A6"/>
    <w:rsid w:val="008769DE"/>
    <w:rsid w:val="00877F43"/>
    <w:rsid w:val="00880159"/>
    <w:rsid w:val="00880B11"/>
    <w:rsid w:val="00880D4A"/>
    <w:rsid w:val="0088205D"/>
    <w:rsid w:val="00884032"/>
    <w:rsid w:val="00884B23"/>
    <w:rsid w:val="008850BC"/>
    <w:rsid w:val="00886428"/>
    <w:rsid w:val="0089093F"/>
    <w:rsid w:val="00892489"/>
    <w:rsid w:val="008929FF"/>
    <w:rsid w:val="00892B68"/>
    <w:rsid w:val="008934BA"/>
    <w:rsid w:val="008940E4"/>
    <w:rsid w:val="00894379"/>
    <w:rsid w:val="00894925"/>
    <w:rsid w:val="00894D6E"/>
    <w:rsid w:val="0089668B"/>
    <w:rsid w:val="008971E5"/>
    <w:rsid w:val="00897503"/>
    <w:rsid w:val="00897829"/>
    <w:rsid w:val="008A1480"/>
    <w:rsid w:val="008A20A4"/>
    <w:rsid w:val="008A3E2F"/>
    <w:rsid w:val="008A6162"/>
    <w:rsid w:val="008A7BBF"/>
    <w:rsid w:val="008A7C24"/>
    <w:rsid w:val="008B04C6"/>
    <w:rsid w:val="008B33B6"/>
    <w:rsid w:val="008B43BC"/>
    <w:rsid w:val="008B4883"/>
    <w:rsid w:val="008B5518"/>
    <w:rsid w:val="008B62D2"/>
    <w:rsid w:val="008B6304"/>
    <w:rsid w:val="008B75D2"/>
    <w:rsid w:val="008B7636"/>
    <w:rsid w:val="008C0484"/>
    <w:rsid w:val="008C2C2F"/>
    <w:rsid w:val="008C439F"/>
    <w:rsid w:val="008C5083"/>
    <w:rsid w:val="008C7073"/>
    <w:rsid w:val="008C718C"/>
    <w:rsid w:val="008C7569"/>
    <w:rsid w:val="008D046F"/>
    <w:rsid w:val="008D09D9"/>
    <w:rsid w:val="008D269B"/>
    <w:rsid w:val="008D2816"/>
    <w:rsid w:val="008D321E"/>
    <w:rsid w:val="008D50ED"/>
    <w:rsid w:val="008D5572"/>
    <w:rsid w:val="008D5953"/>
    <w:rsid w:val="008D5FEB"/>
    <w:rsid w:val="008D7C91"/>
    <w:rsid w:val="008E00FA"/>
    <w:rsid w:val="008E161F"/>
    <w:rsid w:val="008E1864"/>
    <w:rsid w:val="008E2296"/>
    <w:rsid w:val="008E3A18"/>
    <w:rsid w:val="008E3F1C"/>
    <w:rsid w:val="008E42E9"/>
    <w:rsid w:val="008E5B0B"/>
    <w:rsid w:val="008E5CB1"/>
    <w:rsid w:val="008E5E3F"/>
    <w:rsid w:val="008F03C5"/>
    <w:rsid w:val="008F0768"/>
    <w:rsid w:val="008F1E49"/>
    <w:rsid w:val="008F2A75"/>
    <w:rsid w:val="008F2F5D"/>
    <w:rsid w:val="008F4374"/>
    <w:rsid w:val="008F6069"/>
    <w:rsid w:val="008F6BF5"/>
    <w:rsid w:val="008F790D"/>
    <w:rsid w:val="009014F9"/>
    <w:rsid w:val="00901E37"/>
    <w:rsid w:val="00904A26"/>
    <w:rsid w:val="00905552"/>
    <w:rsid w:val="009060CE"/>
    <w:rsid w:val="009074BA"/>
    <w:rsid w:val="00907CA2"/>
    <w:rsid w:val="00907CC7"/>
    <w:rsid w:val="0091049E"/>
    <w:rsid w:val="009128F9"/>
    <w:rsid w:val="00915767"/>
    <w:rsid w:val="00917414"/>
    <w:rsid w:val="0091779F"/>
    <w:rsid w:val="00917854"/>
    <w:rsid w:val="009203C8"/>
    <w:rsid w:val="0092188A"/>
    <w:rsid w:val="00922AD1"/>
    <w:rsid w:val="009238A3"/>
    <w:rsid w:val="00924312"/>
    <w:rsid w:val="00924717"/>
    <w:rsid w:val="00924A3B"/>
    <w:rsid w:val="00924ED1"/>
    <w:rsid w:val="009255FF"/>
    <w:rsid w:val="00926114"/>
    <w:rsid w:val="009278C8"/>
    <w:rsid w:val="009323F4"/>
    <w:rsid w:val="00932B60"/>
    <w:rsid w:val="009336F7"/>
    <w:rsid w:val="00933DC2"/>
    <w:rsid w:val="009340D5"/>
    <w:rsid w:val="009350EF"/>
    <w:rsid w:val="00935BF6"/>
    <w:rsid w:val="009367EC"/>
    <w:rsid w:val="00937AE3"/>
    <w:rsid w:val="00937D69"/>
    <w:rsid w:val="00940141"/>
    <w:rsid w:val="00940A3C"/>
    <w:rsid w:val="00940D33"/>
    <w:rsid w:val="0094128E"/>
    <w:rsid w:val="00941D58"/>
    <w:rsid w:val="00942E2C"/>
    <w:rsid w:val="00942F40"/>
    <w:rsid w:val="009433A9"/>
    <w:rsid w:val="00943EC5"/>
    <w:rsid w:val="00945746"/>
    <w:rsid w:val="00945FE3"/>
    <w:rsid w:val="00946154"/>
    <w:rsid w:val="00946A54"/>
    <w:rsid w:val="00947504"/>
    <w:rsid w:val="009476B2"/>
    <w:rsid w:val="00947910"/>
    <w:rsid w:val="00950A8B"/>
    <w:rsid w:val="00953118"/>
    <w:rsid w:val="009535DB"/>
    <w:rsid w:val="00953E49"/>
    <w:rsid w:val="00954A4E"/>
    <w:rsid w:val="009611DA"/>
    <w:rsid w:val="0096357F"/>
    <w:rsid w:val="00963E69"/>
    <w:rsid w:val="009666D7"/>
    <w:rsid w:val="00970C89"/>
    <w:rsid w:val="00971284"/>
    <w:rsid w:val="00971522"/>
    <w:rsid w:val="00971B32"/>
    <w:rsid w:val="00972E96"/>
    <w:rsid w:val="009732E1"/>
    <w:rsid w:val="0097493A"/>
    <w:rsid w:val="0097517D"/>
    <w:rsid w:val="00975802"/>
    <w:rsid w:val="009811DD"/>
    <w:rsid w:val="00981307"/>
    <w:rsid w:val="0098201A"/>
    <w:rsid w:val="00983633"/>
    <w:rsid w:val="009837CC"/>
    <w:rsid w:val="00983FFD"/>
    <w:rsid w:val="009840D4"/>
    <w:rsid w:val="00984690"/>
    <w:rsid w:val="00984DFF"/>
    <w:rsid w:val="0098635D"/>
    <w:rsid w:val="00987163"/>
    <w:rsid w:val="00987592"/>
    <w:rsid w:val="0098759D"/>
    <w:rsid w:val="00990C92"/>
    <w:rsid w:val="00990E1C"/>
    <w:rsid w:val="009910BE"/>
    <w:rsid w:val="00991E7C"/>
    <w:rsid w:val="0099450B"/>
    <w:rsid w:val="009953DE"/>
    <w:rsid w:val="00995EDA"/>
    <w:rsid w:val="0099638A"/>
    <w:rsid w:val="009A0001"/>
    <w:rsid w:val="009A0D13"/>
    <w:rsid w:val="009A11AC"/>
    <w:rsid w:val="009A1B29"/>
    <w:rsid w:val="009A302B"/>
    <w:rsid w:val="009A5F57"/>
    <w:rsid w:val="009B01FE"/>
    <w:rsid w:val="009B0321"/>
    <w:rsid w:val="009B0A15"/>
    <w:rsid w:val="009B1B5C"/>
    <w:rsid w:val="009B1E38"/>
    <w:rsid w:val="009B2C80"/>
    <w:rsid w:val="009B2E8E"/>
    <w:rsid w:val="009B30A6"/>
    <w:rsid w:val="009B3323"/>
    <w:rsid w:val="009B3C6D"/>
    <w:rsid w:val="009B47EA"/>
    <w:rsid w:val="009B6565"/>
    <w:rsid w:val="009B7D14"/>
    <w:rsid w:val="009C01F6"/>
    <w:rsid w:val="009C0AE8"/>
    <w:rsid w:val="009C1AC6"/>
    <w:rsid w:val="009C2016"/>
    <w:rsid w:val="009C27F0"/>
    <w:rsid w:val="009C310E"/>
    <w:rsid w:val="009C3CE6"/>
    <w:rsid w:val="009C698D"/>
    <w:rsid w:val="009C74EA"/>
    <w:rsid w:val="009C7FE0"/>
    <w:rsid w:val="009D0826"/>
    <w:rsid w:val="009D24D4"/>
    <w:rsid w:val="009D3935"/>
    <w:rsid w:val="009D3B69"/>
    <w:rsid w:val="009D3F26"/>
    <w:rsid w:val="009D4740"/>
    <w:rsid w:val="009D5572"/>
    <w:rsid w:val="009E283B"/>
    <w:rsid w:val="009E2E27"/>
    <w:rsid w:val="009E3B57"/>
    <w:rsid w:val="009E4A52"/>
    <w:rsid w:val="009E4B6C"/>
    <w:rsid w:val="009E4D37"/>
    <w:rsid w:val="009E6318"/>
    <w:rsid w:val="009E6864"/>
    <w:rsid w:val="009E7872"/>
    <w:rsid w:val="009E7C03"/>
    <w:rsid w:val="009F09FD"/>
    <w:rsid w:val="009F1128"/>
    <w:rsid w:val="009F1650"/>
    <w:rsid w:val="009F1C2B"/>
    <w:rsid w:val="009F1C4E"/>
    <w:rsid w:val="009F231F"/>
    <w:rsid w:val="009F2E1E"/>
    <w:rsid w:val="009F2FC2"/>
    <w:rsid w:val="009F342E"/>
    <w:rsid w:val="009F3E07"/>
    <w:rsid w:val="009F4912"/>
    <w:rsid w:val="009F5114"/>
    <w:rsid w:val="009F587C"/>
    <w:rsid w:val="009F60D0"/>
    <w:rsid w:val="009F6219"/>
    <w:rsid w:val="009F7412"/>
    <w:rsid w:val="00A0130B"/>
    <w:rsid w:val="00A01A1B"/>
    <w:rsid w:val="00A02039"/>
    <w:rsid w:val="00A027A3"/>
    <w:rsid w:val="00A02EEF"/>
    <w:rsid w:val="00A03469"/>
    <w:rsid w:val="00A0390D"/>
    <w:rsid w:val="00A05070"/>
    <w:rsid w:val="00A05A71"/>
    <w:rsid w:val="00A06279"/>
    <w:rsid w:val="00A0732A"/>
    <w:rsid w:val="00A119ED"/>
    <w:rsid w:val="00A11A6D"/>
    <w:rsid w:val="00A124B9"/>
    <w:rsid w:val="00A1349C"/>
    <w:rsid w:val="00A13F51"/>
    <w:rsid w:val="00A144FB"/>
    <w:rsid w:val="00A161AC"/>
    <w:rsid w:val="00A162BF"/>
    <w:rsid w:val="00A16B2E"/>
    <w:rsid w:val="00A17594"/>
    <w:rsid w:val="00A201E4"/>
    <w:rsid w:val="00A21518"/>
    <w:rsid w:val="00A2232E"/>
    <w:rsid w:val="00A24407"/>
    <w:rsid w:val="00A26079"/>
    <w:rsid w:val="00A268E2"/>
    <w:rsid w:val="00A279CF"/>
    <w:rsid w:val="00A306EC"/>
    <w:rsid w:val="00A31141"/>
    <w:rsid w:val="00A31C64"/>
    <w:rsid w:val="00A31FCE"/>
    <w:rsid w:val="00A32E6E"/>
    <w:rsid w:val="00A330E6"/>
    <w:rsid w:val="00A3474D"/>
    <w:rsid w:val="00A370F6"/>
    <w:rsid w:val="00A37462"/>
    <w:rsid w:val="00A411A2"/>
    <w:rsid w:val="00A416B4"/>
    <w:rsid w:val="00A41921"/>
    <w:rsid w:val="00A41D7A"/>
    <w:rsid w:val="00A431B4"/>
    <w:rsid w:val="00A433DB"/>
    <w:rsid w:val="00A43572"/>
    <w:rsid w:val="00A4570E"/>
    <w:rsid w:val="00A4613D"/>
    <w:rsid w:val="00A47327"/>
    <w:rsid w:val="00A5248B"/>
    <w:rsid w:val="00A533C4"/>
    <w:rsid w:val="00A53482"/>
    <w:rsid w:val="00A53E5D"/>
    <w:rsid w:val="00A54381"/>
    <w:rsid w:val="00A554C5"/>
    <w:rsid w:val="00A6092C"/>
    <w:rsid w:val="00A60B41"/>
    <w:rsid w:val="00A60C3A"/>
    <w:rsid w:val="00A60F6E"/>
    <w:rsid w:val="00A61844"/>
    <w:rsid w:val="00A62C81"/>
    <w:rsid w:val="00A62D4E"/>
    <w:rsid w:val="00A63DAB"/>
    <w:rsid w:val="00A646D7"/>
    <w:rsid w:val="00A64EB0"/>
    <w:rsid w:val="00A66950"/>
    <w:rsid w:val="00A67F2C"/>
    <w:rsid w:val="00A70837"/>
    <w:rsid w:val="00A717D4"/>
    <w:rsid w:val="00A71DCB"/>
    <w:rsid w:val="00A72419"/>
    <w:rsid w:val="00A734F7"/>
    <w:rsid w:val="00A73770"/>
    <w:rsid w:val="00A7447F"/>
    <w:rsid w:val="00A74547"/>
    <w:rsid w:val="00A7492A"/>
    <w:rsid w:val="00A75B7E"/>
    <w:rsid w:val="00A76DDB"/>
    <w:rsid w:val="00A80CB6"/>
    <w:rsid w:val="00A812B3"/>
    <w:rsid w:val="00A824B7"/>
    <w:rsid w:val="00A83A41"/>
    <w:rsid w:val="00A83C50"/>
    <w:rsid w:val="00A840F1"/>
    <w:rsid w:val="00A84F0F"/>
    <w:rsid w:val="00A85507"/>
    <w:rsid w:val="00A85823"/>
    <w:rsid w:val="00A869B3"/>
    <w:rsid w:val="00A86D80"/>
    <w:rsid w:val="00A87DE8"/>
    <w:rsid w:val="00A90E86"/>
    <w:rsid w:val="00A91017"/>
    <w:rsid w:val="00A9127A"/>
    <w:rsid w:val="00A926FE"/>
    <w:rsid w:val="00A932EC"/>
    <w:rsid w:val="00A93AE0"/>
    <w:rsid w:val="00A950C5"/>
    <w:rsid w:val="00A95FAB"/>
    <w:rsid w:val="00A961A8"/>
    <w:rsid w:val="00A97876"/>
    <w:rsid w:val="00AA02FC"/>
    <w:rsid w:val="00AA1E06"/>
    <w:rsid w:val="00AA2CF4"/>
    <w:rsid w:val="00AA4CA6"/>
    <w:rsid w:val="00AA5BA4"/>
    <w:rsid w:val="00AA6C4E"/>
    <w:rsid w:val="00AA75AA"/>
    <w:rsid w:val="00AB187F"/>
    <w:rsid w:val="00AB197D"/>
    <w:rsid w:val="00AB1D50"/>
    <w:rsid w:val="00AB3248"/>
    <w:rsid w:val="00AB4B85"/>
    <w:rsid w:val="00AB55AB"/>
    <w:rsid w:val="00AB6A25"/>
    <w:rsid w:val="00AB731C"/>
    <w:rsid w:val="00AB7FD4"/>
    <w:rsid w:val="00AC0A98"/>
    <w:rsid w:val="00AC103C"/>
    <w:rsid w:val="00AC1396"/>
    <w:rsid w:val="00AC34C7"/>
    <w:rsid w:val="00AC3564"/>
    <w:rsid w:val="00AC35F8"/>
    <w:rsid w:val="00AC4E8B"/>
    <w:rsid w:val="00AC5875"/>
    <w:rsid w:val="00AC6746"/>
    <w:rsid w:val="00AC6D80"/>
    <w:rsid w:val="00AC6FCD"/>
    <w:rsid w:val="00AC7958"/>
    <w:rsid w:val="00AC7E76"/>
    <w:rsid w:val="00AD087E"/>
    <w:rsid w:val="00AD0987"/>
    <w:rsid w:val="00AD13C4"/>
    <w:rsid w:val="00AD2F1B"/>
    <w:rsid w:val="00AD3F91"/>
    <w:rsid w:val="00AD4207"/>
    <w:rsid w:val="00AD5742"/>
    <w:rsid w:val="00AD5D6B"/>
    <w:rsid w:val="00AD5EE8"/>
    <w:rsid w:val="00AD7234"/>
    <w:rsid w:val="00AE0C1B"/>
    <w:rsid w:val="00AE29A4"/>
    <w:rsid w:val="00AE4269"/>
    <w:rsid w:val="00AE45DB"/>
    <w:rsid w:val="00AE554A"/>
    <w:rsid w:val="00AE5858"/>
    <w:rsid w:val="00AE6025"/>
    <w:rsid w:val="00AE6B55"/>
    <w:rsid w:val="00AE7638"/>
    <w:rsid w:val="00AF1B0F"/>
    <w:rsid w:val="00AF283F"/>
    <w:rsid w:val="00AF341A"/>
    <w:rsid w:val="00AF47A0"/>
    <w:rsid w:val="00AF4FF8"/>
    <w:rsid w:val="00AF51D1"/>
    <w:rsid w:val="00AF5797"/>
    <w:rsid w:val="00AF591F"/>
    <w:rsid w:val="00AF635C"/>
    <w:rsid w:val="00AF6B1F"/>
    <w:rsid w:val="00AF6B53"/>
    <w:rsid w:val="00AF7217"/>
    <w:rsid w:val="00AF763D"/>
    <w:rsid w:val="00B00399"/>
    <w:rsid w:val="00B0060C"/>
    <w:rsid w:val="00B02152"/>
    <w:rsid w:val="00B0246A"/>
    <w:rsid w:val="00B03348"/>
    <w:rsid w:val="00B0457F"/>
    <w:rsid w:val="00B051B5"/>
    <w:rsid w:val="00B0553E"/>
    <w:rsid w:val="00B058B9"/>
    <w:rsid w:val="00B05E12"/>
    <w:rsid w:val="00B06237"/>
    <w:rsid w:val="00B062E2"/>
    <w:rsid w:val="00B06593"/>
    <w:rsid w:val="00B066A4"/>
    <w:rsid w:val="00B072F8"/>
    <w:rsid w:val="00B13F8D"/>
    <w:rsid w:val="00B15822"/>
    <w:rsid w:val="00B161F7"/>
    <w:rsid w:val="00B1632F"/>
    <w:rsid w:val="00B16AA0"/>
    <w:rsid w:val="00B177AF"/>
    <w:rsid w:val="00B23FA2"/>
    <w:rsid w:val="00B256F1"/>
    <w:rsid w:val="00B25BB1"/>
    <w:rsid w:val="00B25D22"/>
    <w:rsid w:val="00B2722E"/>
    <w:rsid w:val="00B3062B"/>
    <w:rsid w:val="00B30906"/>
    <w:rsid w:val="00B31DEC"/>
    <w:rsid w:val="00B31DFA"/>
    <w:rsid w:val="00B3377B"/>
    <w:rsid w:val="00B337B5"/>
    <w:rsid w:val="00B3432F"/>
    <w:rsid w:val="00B34458"/>
    <w:rsid w:val="00B34B5E"/>
    <w:rsid w:val="00B34DE3"/>
    <w:rsid w:val="00B353D2"/>
    <w:rsid w:val="00B35E65"/>
    <w:rsid w:val="00B36E7A"/>
    <w:rsid w:val="00B41FA6"/>
    <w:rsid w:val="00B43D5A"/>
    <w:rsid w:val="00B44DD5"/>
    <w:rsid w:val="00B467DB"/>
    <w:rsid w:val="00B46B27"/>
    <w:rsid w:val="00B46D14"/>
    <w:rsid w:val="00B4716F"/>
    <w:rsid w:val="00B50036"/>
    <w:rsid w:val="00B52079"/>
    <w:rsid w:val="00B53D05"/>
    <w:rsid w:val="00B54835"/>
    <w:rsid w:val="00B5570A"/>
    <w:rsid w:val="00B565F1"/>
    <w:rsid w:val="00B56E4B"/>
    <w:rsid w:val="00B57496"/>
    <w:rsid w:val="00B5773D"/>
    <w:rsid w:val="00B60A7E"/>
    <w:rsid w:val="00B60D0D"/>
    <w:rsid w:val="00B6105B"/>
    <w:rsid w:val="00B6153D"/>
    <w:rsid w:val="00B6200C"/>
    <w:rsid w:val="00B62579"/>
    <w:rsid w:val="00B6333A"/>
    <w:rsid w:val="00B64662"/>
    <w:rsid w:val="00B65965"/>
    <w:rsid w:val="00B66072"/>
    <w:rsid w:val="00B668F2"/>
    <w:rsid w:val="00B66C66"/>
    <w:rsid w:val="00B66CE9"/>
    <w:rsid w:val="00B6763D"/>
    <w:rsid w:val="00B70206"/>
    <w:rsid w:val="00B70337"/>
    <w:rsid w:val="00B7118E"/>
    <w:rsid w:val="00B72132"/>
    <w:rsid w:val="00B72349"/>
    <w:rsid w:val="00B7281C"/>
    <w:rsid w:val="00B72D81"/>
    <w:rsid w:val="00B7324D"/>
    <w:rsid w:val="00B73687"/>
    <w:rsid w:val="00B738AB"/>
    <w:rsid w:val="00B73C90"/>
    <w:rsid w:val="00B7543D"/>
    <w:rsid w:val="00B7557C"/>
    <w:rsid w:val="00B7725C"/>
    <w:rsid w:val="00B77C41"/>
    <w:rsid w:val="00B81092"/>
    <w:rsid w:val="00B81669"/>
    <w:rsid w:val="00B81BD5"/>
    <w:rsid w:val="00B825F1"/>
    <w:rsid w:val="00B8370F"/>
    <w:rsid w:val="00B84EB3"/>
    <w:rsid w:val="00B907B5"/>
    <w:rsid w:val="00B910C2"/>
    <w:rsid w:val="00B91A36"/>
    <w:rsid w:val="00B92C83"/>
    <w:rsid w:val="00B93478"/>
    <w:rsid w:val="00B941A1"/>
    <w:rsid w:val="00B94CC0"/>
    <w:rsid w:val="00B96A12"/>
    <w:rsid w:val="00B97A15"/>
    <w:rsid w:val="00BA14C8"/>
    <w:rsid w:val="00BA19F0"/>
    <w:rsid w:val="00BA1CBC"/>
    <w:rsid w:val="00BA20CE"/>
    <w:rsid w:val="00BA217E"/>
    <w:rsid w:val="00BA292E"/>
    <w:rsid w:val="00BA3084"/>
    <w:rsid w:val="00BA43CE"/>
    <w:rsid w:val="00BA49AE"/>
    <w:rsid w:val="00BA6DA0"/>
    <w:rsid w:val="00BB2C18"/>
    <w:rsid w:val="00BB3CDF"/>
    <w:rsid w:val="00BB3D23"/>
    <w:rsid w:val="00BB46C3"/>
    <w:rsid w:val="00BB5278"/>
    <w:rsid w:val="00BB7645"/>
    <w:rsid w:val="00BB79F3"/>
    <w:rsid w:val="00BC0BAD"/>
    <w:rsid w:val="00BC1548"/>
    <w:rsid w:val="00BC271E"/>
    <w:rsid w:val="00BC294E"/>
    <w:rsid w:val="00BC2954"/>
    <w:rsid w:val="00BC3A31"/>
    <w:rsid w:val="00BC44DC"/>
    <w:rsid w:val="00BC4AF9"/>
    <w:rsid w:val="00BC575C"/>
    <w:rsid w:val="00BC582E"/>
    <w:rsid w:val="00BC5961"/>
    <w:rsid w:val="00BC5F53"/>
    <w:rsid w:val="00BC78C6"/>
    <w:rsid w:val="00BD054B"/>
    <w:rsid w:val="00BD0BD9"/>
    <w:rsid w:val="00BD0E01"/>
    <w:rsid w:val="00BD16F2"/>
    <w:rsid w:val="00BD27C4"/>
    <w:rsid w:val="00BD2D07"/>
    <w:rsid w:val="00BD31EC"/>
    <w:rsid w:val="00BD3CA8"/>
    <w:rsid w:val="00BD3E95"/>
    <w:rsid w:val="00BD3FC0"/>
    <w:rsid w:val="00BD4E15"/>
    <w:rsid w:val="00BD625D"/>
    <w:rsid w:val="00BE0046"/>
    <w:rsid w:val="00BE2EFF"/>
    <w:rsid w:val="00BE3053"/>
    <w:rsid w:val="00BE31E8"/>
    <w:rsid w:val="00BE3CA8"/>
    <w:rsid w:val="00BE4691"/>
    <w:rsid w:val="00BE5341"/>
    <w:rsid w:val="00BE5D5D"/>
    <w:rsid w:val="00BE6447"/>
    <w:rsid w:val="00BE6B10"/>
    <w:rsid w:val="00BE7B5B"/>
    <w:rsid w:val="00BF249F"/>
    <w:rsid w:val="00BF2D79"/>
    <w:rsid w:val="00BF3282"/>
    <w:rsid w:val="00BF33DB"/>
    <w:rsid w:val="00BF505F"/>
    <w:rsid w:val="00BF5DE4"/>
    <w:rsid w:val="00BF73AF"/>
    <w:rsid w:val="00BF748F"/>
    <w:rsid w:val="00BF7F12"/>
    <w:rsid w:val="00BF7F7E"/>
    <w:rsid w:val="00C0166C"/>
    <w:rsid w:val="00C01D97"/>
    <w:rsid w:val="00C021AB"/>
    <w:rsid w:val="00C023DC"/>
    <w:rsid w:val="00C02446"/>
    <w:rsid w:val="00C031D5"/>
    <w:rsid w:val="00C04C67"/>
    <w:rsid w:val="00C066AD"/>
    <w:rsid w:val="00C07273"/>
    <w:rsid w:val="00C07DE3"/>
    <w:rsid w:val="00C07E1C"/>
    <w:rsid w:val="00C07F6B"/>
    <w:rsid w:val="00C10ADD"/>
    <w:rsid w:val="00C11729"/>
    <w:rsid w:val="00C118AF"/>
    <w:rsid w:val="00C1235F"/>
    <w:rsid w:val="00C12BAD"/>
    <w:rsid w:val="00C1344C"/>
    <w:rsid w:val="00C139CD"/>
    <w:rsid w:val="00C15176"/>
    <w:rsid w:val="00C152BE"/>
    <w:rsid w:val="00C157D6"/>
    <w:rsid w:val="00C15914"/>
    <w:rsid w:val="00C1649C"/>
    <w:rsid w:val="00C20CA2"/>
    <w:rsid w:val="00C2121E"/>
    <w:rsid w:val="00C2262A"/>
    <w:rsid w:val="00C2275A"/>
    <w:rsid w:val="00C22D2C"/>
    <w:rsid w:val="00C23960"/>
    <w:rsid w:val="00C23CBC"/>
    <w:rsid w:val="00C2497F"/>
    <w:rsid w:val="00C2506B"/>
    <w:rsid w:val="00C253C8"/>
    <w:rsid w:val="00C25D4A"/>
    <w:rsid w:val="00C26E61"/>
    <w:rsid w:val="00C26F9A"/>
    <w:rsid w:val="00C27740"/>
    <w:rsid w:val="00C27957"/>
    <w:rsid w:val="00C31CFB"/>
    <w:rsid w:val="00C3311D"/>
    <w:rsid w:val="00C33AB7"/>
    <w:rsid w:val="00C357AA"/>
    <w:rsid w:val="00C35B9E"/>
    <w:rsid w:val="00C36DFD"/>
    <w:rsid w:val="00C37063"/>
    <w:rsid w:val="00C37414"/>
    <w:rsid w:val="00C37EC9"/>
    <w:rsid w:val="00C40AAB"/>
    <w:rsid w:val="00C40D4F"/>
    <w:rsid w:val="00C41558"/>
    <w:rsid w:val="00C42A14"/>
    <w:rsid w:val="00C44596"/>
    <w:rsid w:val="00C451D8"/>
    <w:rsid w:val="00C452C5"/>
    <w:rsid w:val="00C461FD"/>
    <w:rsid w:val="00C46542"/>
    <w:rsid w:val="00C46BD3"/>
    <w:rsid w:val="00C46EC2"/>
    <w:rsid w:val="00C478A2"/>
    <w:rsid w:val="00C50892"/>
    <w:rsid w:val="00C5111B"/>
    <w:rsid w:val="00C52800"/>
    <w:rsid w:val="00C52947"/>
    <w:rsid w:val="00C53854"/>
    <w:rsid w:val="00C5453E"/>
    <w:rsid w:val="00C553E4"/>
    <w:rsid w:val="00C557F1"/>
    <w:rsid w:val="00C569AE"/>
    <w:rsid w:val="00C57F72"/>
    <w:rsid w:val="00C602E2"/>
    <w:rsid w:val="00C605AC"/>
    <w:rsid w:val="00C61F7A"/>
    <w:rsid w:val="00C628FB"/>
    <w:rsid w:val="00C63A61"/>
    <w:rsid w:val="00C64370"/>
    <w:rsid w:val="00C64B74"/>
    <w:rsid w:val="00C65397"/>
    <w:rsid w:val="00C65FFA"/>
    <w:rsid w:val="00C669E0"/>
    <w:rsid w:val="00C67367"/>
    <w:rsid w:val="00C677DA"/>
    <w:rsid w:val="00C67E58"/>
    <w:rsid w:val="00C71721"/>
    <w:rsid w:val="00C71AB8"/>
    <w:rsid w:val="00C72A8B"/>
    <w:rsid w:val="00C7399D"/>
    <w:rsid w:val="00C74BD2"/>
    <w:rsid w:val="00C75FE9"/>
    <w:rsid w:val="00C76857"/>
    <w:rsid w:val="00C768B2"/>
    <w:rsid w:val="00C76E44"/>
    <w:rsid w:val="00C76EA9"/>
    <w:rsid w:val="00C803E9"/>
    <w:rsid w:val="00C837AB"/>
    <w:rsid w:val="00C83935"/>
    <w:rsid w:val="00C846FE"/>
    <w:rsid w:val="00C85897"/>
    <w:rsid w:val="00C85F4A"/>
    <w:rsid w:val="00C86973"/>
    <w:rsid w:val="00C8718F"/>
    <w:rsid w:val="00C92413"/>
    <w:rsid w:val="00C92FDB"/>
    <w:rsid w:val="00C9389E"/>
    <w:rsid w:val="00C96490"/>
    <w:rsid w:val="00C96ACF"/>
    <w:rsid w:val="00C97380"/>
    <w:rsid w:val="00CA0046"/>
    <w:rsid w:val="00CA0489"/>
    <w:rsid w:val="00CA0FAC"/>
    <w:rsid w:val="00CA17E1"/>
    <w:rsid w:val="00CA4582"/>
    <w:rsid w:val="00CA4A77"/>
    <w:rsid w:val="00CA5078"/>
    <w:rsid w:val="00CA5E86"/>
    <w:rsid w:val="00CA622E"/>
    <w:rsid w:val="00CA667A"/>
    <w:rsid w:val="00CA6906"/>
    <w:rsid w:val="00CA7EE5"/>
    <w:rsid w:val="00CB051E"/>
    <w:rsid w:val="00CB1A02"/>
    <w:rsid w:val="00CB1FF8"/>
    <w:rsid w:val="00CB3239"/>
    <w:rsid w:val="00CB3EDE"/>
    <w:rsid w:val="00CB5381"/>
    <w:rsid w:val="00CB6B70"/>
    <w:rsid w:val="00CB6CB4"/>
    <w:rsid w:val="00CB73BE"/>
    <w:rsid w:val="00CC0C00"/>
    <w:rsid w:val="00CC17D6"/>
    <w:rsid w:val="00CC54AA"/>
    <w:rsid w:val="00CC5755"/>
    <w:rsid w:val="00CC6049"/>
    <w:rsid w:val="00CC7B1C"/>
    <w:rsid w:val="00CD3188"/>
    <w:rsid w:val="00CD3F86"/>
    <w:rsid w:val="00CD661F"/>
    <w:rsid w:val="00CD68A9"/>
    <w:rsid w:val="00CD6E11"/>
    <w:rsid w:val="00CD7D78"/>
    <w:rsid w:val="00CE086C"/>
    <w:rsid w:val="00CE0963"/>
    <w:rsid w:val="00CE2E04"/>
    <w:rsid w:val="00CE36D5"/>
    <w:rsid w:val="00CE45F3"/>
    <w:rsid w:val="00CE496B"/>
    <w:rsid w:val="00CE7C93"/>
    <w:rsid w:val="00CE7E42"/>
    <w:rsid w:val="00CE7E61"/>
    <w:rsid w:val="00CF0089"/>
    <w:rsid w:val="00CF0BEC"/>
    <w:rsid w:val="00CF0EFC"/>
    <w:rsid w:val="00CF143E"/>
    <w:rsid w:val="00CF3C50"/>
    <w:rsid w:val="00CF3E57"/>
    <w:rsid w:val="00CF48A2"/>
    <w:rsid w:val="00CF4C68"/>
    <w:rsid w:val="00CF5C6A"/>
    <w:rsid w:val="00CF6592"/>
    <w:rsid w:val="00CF6663"/>
    <w:rsid w:val="00CF7DA5"/>
    <w:rsid w:val="00D0026D"/>
    <w:rsid w:val="00D004AF"/>
    <w:rsid w:val="00D01DCE"/>
    <w:rsid w:val="00D03BC6"/>
    <w:rsid w:val="00D03E49"/>
    <w:rsid w:val="00D04973"/>
    <w:rsid w:val="00D05662"/>
    <w:rsid w:val="00D0595F"/>
    <w:rsid w:val="00D06822"/>
    <w:rsid w:val="00D07643"/>
    <w:rsid w:val="00D11A0C"/>
    <w:rsid w:val="00D13608"/>
    <w:rsid w:val="00D13CC8"/>
    <w:rsid w:val="00D13D7B"/>
    <w:rsid w:val="00D15A6F"/>
    <w:rsid w:val="00D1667D"/>
    <w:rsid w:val="00D17117"/>
    <w:rsid w:val="00D21D66"/>
    <w:rsid w:val="00D2315A"/>
    <w:rsid w:val="00D23205"/>
    <w:rsid w:val="00D23843"/>
    <w:rsid w:val="00D23EE2"/>
    <w:rsid w:val="00D24A26"/>
    <w:rsid w:val="00D259D0"/>
    <w:rsid w:val="00D25B9E"/>
    <w:rsid w:val="00D2641C"/>
    <w:rsid w:val="00D26908"/>
    <w:rsid w:val="00D32D13"/>
    <w:rsid w:val="00D332B5"/>
    <w:rsid w:val="00D3376D"/>
    <w:rsid w:val="00D3420D"/>
    <w:rsid w:val="00D345FF"/>
    <w:rsid w:val="00D34B60"/>
    <w:rsid w:val="00D3560F"/>
    <w:rsid w:val="00D3568D"/>
    <w:rsid w:val="00D356F8"/>
    <w:rsid w:val="00D36409"/>
    <w:rsid w:val="00D37F44"/>
    <w:rsid w:val="00D40E61"/>
    <w:rsid w:val="00D410C1"/>
    <w:rsid w:val="00D411C0"/>
    <w:rsid w:val="00D412BA"/>
    <w:rsid w:val="00D41371"/>
    <w:rsid w:val="00D418A3"/>
    <w:rsid w:val="00D425F2"/>
    <w:rsid w:val="00D44C64"/>
    <w:rsid w:val="00D45968"/>
    <w:rsid w:val="00D45FCF"/>
    <w:rsid w:val="00D4635F"/>
    <w:rsid w:val="00D50977"/>
    <w:rsid w:val="00D50FF0"/>
    <w:rsid w:val="00D522AC"/>
    <w:rsid w:val="00D52439"/>
    <w:rsid w:val="00D5269C"/>
    <w:rsid w:val="00D536A0"/>
    <w:rsid w:val="00D545C9"/>
    <w:rsid w:val="00D5608F"/>
    <w:rsid w:val="00D56338"/>
    <w:rsid w:val="00D56342"/>
    <w:rsid w:val="00D569C0"/>
    <w:rsid w:val="00D56BEF"/>
    <w:rsid w:val="00D605A2"/>
    <w:rsid w:val="00D617E0"/>
    <w:rsid w:val="00D62193"/>
    <w:rsid w:val="00D62C0A"/>
    <w:rsid w:val="00D63432"/>
    <w:rsid w:val="00D63C94"/>
    <w:rsid w:val="00D64356"/>
    <w:rsid w:val="00D6455D"/>
    <w:rsid w:val="00D64DD9"/>
    <w:rsid w:val="00D652C3"/>
    <w:rsid w:val="00D65C7C"/>
    <w:rsid w:val="00D6613B"/>
    <w:rsid w:val="00D66537"/>
    <w:rsid w:val="00D66A53"/>
    <w:rsid w:val="00D67DC1"/>
    <w:rsid w:val="00D70D0F"/>
    <w:rsid w:val="00D7127D"/>
    <w:rsid w:val="00D74FBA"/>
    <w:rsid w:val="00D757EC"/>
    <w:rsid w:val="00D759AC"/>
    <w:rsid w:val="00D75C4E"/>
    <w:rsid w:val="00D76013"/>
    <w:rsid w:val="00D763B3"/>
    <w:rsid w:val="00D76419"/>
    <w:rsid w:val="00D7646C"/>
    <w:rsid w:val="00D76859"/>
    <w:rsid w:val="00D809CF"/>
    <w:rsid w:val="00D81A5C"/>
    <w:rsid w:val="00D82C4F"/>
    <w:rsid w:val="00D84992"/>
    <w:rsid w:val="00D85099"/>
    <w:rsid w:val="00D852FB"/>
    <w:rsid w:val="00D86DB0"/>
    <w:rsid w:val="00D903D9"/>
    <w:rsid w:val="00D922FB"/>
    <w:rsid w:val="00D92597"/>
    <w:rsid w:val="00D927C1"/>
    <w:rsid w:val="00D92BBC"/>
    <w:rsid w:val="00D93D0D"/>
    <w:rsid w:val="00D94BAF"/>
    <w:rsid w:val="00D96AB6"/>
    <w:rsid w:val="00D97C4A"/>
    <w:rsid w:val="00DA0610"/>
    <w:rsid w:val="00DA0D82"/>
    <w:rsid w:val="00DA23DF"/>
    <w:rsid w:val="00DA53A3"/>
    <w:rsid w:val="00DA53B6"/>
    <w:rsid w:val="00DA5512"/>
    <w:rsid w:val="00DA589B"/>
    <w:rsid w:val="00DA5DAB"/>
    <w:rsid w:val="00DA672E"/>
    <w:rsid w:val="00DB0CAF"/>
    <w:rsid w:val="00DB0FCC"/>
    <w:rsid w:val="00DB2F12"/>
    <w:rsid w:val="00DB42FF"/>
    <w:rsid w:val="00DB4C8D"/>
    <w:rsid w:val="00DB56EE"/>
    <w:rsid w:val="00DB5AE9"/>
    <w:rsid w:val="00DB62A6"/>
    <w:rsid w:val="00DC09FB"/>
    <w:rsid w:val="00DC151F"/>
    <w:rsid w:val="00DC28E4"/>
    <w:rsid w:val="00DC3AF3"/>
    <w:rsid w:val="00DC3BFB"/>
    <w:rsid w:val="00DC3EB3"/>
    <w:rsid w:val="00DC4F6F"/>
    <w:rsid w:val="00DC5F80"/>
    <w:rsid w:val="00DC62E2"/>
    <w:rsid w:val="00DC7A9D"/>
    <w:rsid w:val="00DC7BFD"/>
    <w:rsid w:val="00DD0F3F"/>
    <w:rsid w:val="00DD1729"/>
    <w:rsid w:val="00DD2064"/>
    <w:rsid w:val="00DD26FA"/>
    <w:rsid w:val="00DD2EFB"/>
    <w:rsid w:val="00DD32A8"/>
    <w:rsid w:val="00DD3B24"/>
    <w:rsid w:val="00DD5BFE"/>
    <w:rsid w:val="00DD6A1D"/>
    <w:rsid w:val="00DD6E10"/>
    <w:rsid w:val="00DD7081"/>
    <w:rsid w:val="00DD77F0"/>
    <w:rsid w:val="00DD7C30"/>
    <w:rsid w:val="00DE086C"/>
    <w:rsid w:val="00DE1EB2"/>
    <w:rsid w:val="00DE2500"/>
    <w:rsid w:val="00DE2538"/>
    <w:rsid w:val="00DE30F0"/>
    <w:rsid w:val="00DE3AB8"/>
    <w:rsid w:val="00DE3D0E"/>
    <w:rsid w:val="00DE4252"/>
    <w:rsid w:val="00DE6619"/>
    <w:rsid w:val="00DE6764"/>
    <w:rsid w:val="00DF0DD7"/>
    <w:rsid w:val="00DF2052"/>
    <w:rsid w:val="00DF2FD5"/>
    <w:rsid w:val="00DF367A"/>
    <w:rsid w:val="00DF4632"/>
    <w:rsid w:val="00DF47D4"/>
    <w:rsid w:val="00DF484C"/>
    <w:rsid w:val="00DF4D27"/>
    <w:rsid w:val="00DF4DBC"/>
    <w:rsid w:val="00DF67B4"/>
    <w:rsid w:val="00DF6C10"/>
    <w:rsid w:val="00DF6D3F"/>
    <w:rsid w:val="00E014BC"/>
    <w:rsid w:val="00E02231"/>
    <w:rsid w:val="00E030CB"/>
    <w:rsid w:val="00E03224"/>
    <w:rsid w:val="00E03301"/>
    <w:rsid w:val="00E039A8"/>
    <w:rsid w:val="00E04863"/>
    <w:rsid w:val="00E05612"/>
    <w:rsid w:val="00E07967"/>
    <w:rsid w:val="00E07BA7"/>
    <w:rsid w:val="00E07DBB"/>
    <w:rsid w:val="00E100A4"/>
    <w:rsid w:val="00E105AE"/>
    <w:rsid w:val="00E10AAB"/>
    <w:rsid w:val="00E1243A"/>
    <w:rsid w:val="00E12818"/>
    <w:rsid w:val="00E12C91"/>
    <w:rsid w:val="00E12E55"/>
    <w:rsid w:val="00E15866"/>
    <w:rsid w:val="00E15977"/>
    <w:rsid w:val="00E15E6D"/>
    <w:rsid w:val="00E16930"/>
    <w:rsid w:val="00E21A63"/>
    <w:rsid w:val="00E22321"/>
    <w:rsid w:val="00E23F7E"/>
    <w:rsid w:val="00E24BD0"/>
    <w:rsid w:val="00E2672B"/>
    <w:rsid w:val="00E269C1"/>
    <w:rsid w:val="00E27C9E"/>
    <w:rsid w:val="00E27D08"/>
    <w:rsid w:val="00E30188"/>
    <w:rsid w:val="00E30809"/>
    <w:rsid w:val="00E31639"/>
    <w:rsid w:val="00E322F3"/>
    <w:rsid w:val="00E33417"/>
    <w:rsid w:val="00E34280"/>
    <w:rsid w:val="00E356B5"/>
    <w:rsid w:val="00E36479"/>
    <w:rsid w:val="00E3680A"/>
    <w:rsid w:val="00E37025"/>
    <w:rsid w:val="00E4239A"/>
    <w:rsid w:val="00E435DA"/>
    <w:rsid w:val="00E448CA"/>
    <w:rsid w:val="00E449D5"/>
    <w:rsid w:val="00E44D82"/>
    <w:rsid w:val="00E45273"/>
    <w:rsid w:val="00E45837"/>
    <w:rsid w:val="00E45883"/>
    <w:rsid w:val="00E45C31"/>
    <w:rsid w:val="00E47D28"/>
    <w:rsid w:val="00E501A4"/>
    <w:rsid w:val="00E502D7"/>
    <w:rsid w:val="00E50788"/>
    <w:rsid w:val="00E50A65"/>
    <w:rsid w:val="00E50FE7"/>
    <w:rsid w:val="00E5122E"/>
    <w:rsid w:val="00E51409"/>
    <w:rsid w:val="00E5173D"/>
    <w:rsid w:val="00E520CB"/>
    <w:rsid w:val="00E52A11"/>
    <w:rsid w:val="00E52ADD"/>
    <w:rsid w:val="00E53929"/>
    <w:rsid w:val="00E542A4"/>
    <w:rsid w:val="00E557DA"/>
    <w:rsid w:val="00E5704B"/>
    <w:rsid w:val="00E575C4"/>
    <w:rsid w:val="00E63218"/>
    <w:rsid w:val="00E649DB"/>
    <w:rsid w:val="00E6501D"/>
    <w:rsid w:val="00E65303"/>
    <w:rsid w:val="00E65A4E"/>
    <w:rsid w:val="00E65C9D"/>
    <w:rsid w:val="00E6610F"/>
    <w:rsid w:val="00E66D8A"/>
    <w:rsid w:val="00E67828"/>
    <w:rsid w:val="00E67918"/>
    <w:rsid w:val="00E67A2C"/>
    <w:rsid w:val="00E67E85"/>
    <w:rsid w:val="00E70629"/>
    <w:rsid w:val="00E70D30"/>
    <w:rsid w:val="00E70D80"/>
    <w:rsid w:val="00E73030"/>
    <w:rsid w:val="00E736DD"/>
    <w:rsid w:val="00E74C11"/>
    <w:rsid w:val="00E7553F"/>
    <w:rsid w:val="00E7612F"/>
    <w:rsid w:val="00E76D89"/>
    <w:rsid w:val="00E76F92"/>
    <w:rsid w:val="00E773DF"/>
    <w:rsid w:val="00E77AAE"/>
    <w:rsid w:val="00E81474"/>
    <w:rsid w:val="00E828F0"/>
    <w:rsid w:val="00E82A80"/>
    <w:rsid w:val="00E8336F"/>
    <w:rsid w:val="00E8385F"/>
    <w:rsid w:val="00E84310"/>
    <w:rsid w:val="00E848ED"/>
    <w:rsid w:val="00E85295"/>
    <w:rsid w:val="00E8543E"/>
    <w:rsid w:val="00E86B77"/>
    <w:rsid w:val="00E8762F"/>
    <w:rsid w:val="00E90E3B"/>
    <w:rsid w:val="00E90E5A"/>
    <w:rsid w:val="00E92353"/>
    <w:rsid w:val="00E92EC3"/>
    <w:rsid w:val="00E977C0"/>
    <w:rsid w:val="00E9788F"/>
    <w:rsid w:val="00E97F4B"/>
    <w:rsid w:val="00EA206E"/>
    <w:rsid w:val="00EA20E7"/>
    <w:rsid w:val="00EA2B17"/>
    <w:rsid w:val="00EA401A"/>
    <w:rsid w:val="00EA68FF"/>
    <w:rsid w:val="00EA741B"/>
    <w:rsid w:val="00EB115C"/>
    <w:rsid w:val="00EB1195"/>
    <w:rsid w:val="00EB2150"/>
    <w:rsid w:val="00EB27DD"/>
    <w:rsid w:val="00EB43B4"/>
    <w:rsid w:val="00EB49D6"/>
    <w:rsid w:val="00EB4C88"/>
    <w:rsid w:val="00EB561C"/>
    <w:rsid w:val="00EB59B3"/>
    <w:rsid w:val="00EB5EEF"/>
    <w:rsid w:val="00EB6372"/>
    <w:rsid w:val="00EB6E74"/>
    <w:rsid w:val="00EB757A"/>
    <w:rsid w:val="00EB77FF"/>
    <w:rsid w:val="00EB7D8E"/>
    <w:rsid w:val="00EC015B"/>
    <w:rsid w:val="00EC0499"/>
    <w:rsid w:val="00EC0EB2"/>
    <w:rsid w:val="00EC1645"/>
    <w:rsid w:val="00EC1982"/>
    <w:rsid w:val="00EC2AE0"/>
    <w:rsid w:val="00EC2ECF"/>
    <w:rsid w:val="00EC3408"/>
    <w:rsid w:val="00EC3762"/>
    <w:rsid w:val="00EC37E3"/>
    <w:rsid w:val="00EC4475"/>
    <w:rsid w:val="00EC4694"/>
    <w:rsid w:val="00EC473F"/>
    <w:rsid w:val="00EC4B42"/>
    <w:rsid w:val="00EC4CAF"/>
    <w:rsid w:val="00EC4E47"/>
    <w:rsid w:val="00EC5299"/>
    <w:rsid w:val="00EC6110"/>
    <w:rsid w:val="00EC69F7"/>
    <w:rsid w:val="00EC711C"/>
    <w:rsid w:val="00ED0114"/>
    <w:rsid w:val="00ED089E"/>
    <w:rsid w:val="00ED0E8E"/>
    <w:rsid w:val="00ED13A9"/>
    <w:rsid w:val="00ED152C"/>
    <w:rsid w:val="00ED1DB2"/>
    <w:rsid w:val="00ED2E4A"/>
    <w:rsid w:val="00ED3649"/>
    <w:rsid w:val="00ED3996"/>
    <w:rsid w:val="00ED606B"/>
    <w:rsid w:val="00ED7FE0"/>
    <w:rsid w:val="00EE0481"/>
    <w:rsid w:val="00EE09DA"/>
    <w:rsid w:val="00EE0C4F"/>
    <w:rsid w:val="00EE15E8"/>
    <w:rsid w:val="00EE1B0D"/>
    <w:rsid w:val="00EE2629"/>
    <w:rsid w:val="00EE2688"/>
    <w:rsid w:val="00EE2906"/>
    <w:rsid w:val="00EE4915"/>
    <w:rsid w:val="00EE5600"/>
    <w:rsid w:val="00EE59CC"/>
    <w:rsid w:val="00EE6ADD"/>
    <w:rsid w:val="00EF021E"/>
    <w:rsid w:val="00EF1BE4"/>
    <w:rsid w:val="00EF4424"/>
    <w:rsid w:val="00EF4ECF"/>
    <w:rsid w:val="00EF5F2D"/>
    <w:rsid w:val="00F00FC3"/>
    <w:rsid w:val="00F01761"/>
    <w:rsid w:val="00F01BDC"/>
    <w:rsid w:val="00F02F6E"/>
    <w:rsid w:val="00F06F3B"/>
    <w:rsid w:val="00F07B41"/>
    <w:rsid w:val="00F10808"/>
    <w:rsid w:val="00F10F82"/>
    <w:rsid w:val="00F111AE"/>
    <w:rsid w:val="00F11B76"/>
    <w:rsid w:val="00F126B3"/>
    <w:rsid w:val="00F1291E"/>
    <w:rsid w:val="00F13D85"/>
    <w:rsid w:val="00F14A6B"/>
    <w:rsid w:val="00F15002"/>
    <w:rsid w:val="00F1556A"/>
    <w:rsid w:val="00F1734F"/>
    <w:rsid w:val="00F1799A"/>
    <w:rsid w:val="00F20A25"/>
    <w:rsid w:val="00F22ABA"/>
    <w:rsid w:val="00F25CC7"/>
    <w:rsid w:val="00F25DCB"/>
    <w:rsid w:val="00F26C08"/>
    <w:rsid w:val="00F26DFE"/>
    <w:rsid w:val="00F27773"/>
    <w:rsid w:val="00F27D74"/>
    <w:rsid w:val="00F302D8"/>
    <w:rsid w:val="00F31908"/>
    <w:rsid w:val="00F31A21"/>
    <w:rsid w:val="00F3206A"/>
    <w:rsid w:val="00F339BE"/>
    <w:rsid w:val="00F370C6"/>
    <w:rsid w:val="00F37A30"/>
    <w:rsid w:val="00F40C55"/>
    <w:rsid w:val="00F4148A"/>
    <w:rsid w:val="00F4279E"/>
    <w:rsid w:val="00F42B99"/>
    <w:rsid w:val="00F42EB9"/>
    <w:rsid w:val="00F43085"/>
    <w:rsid w:val="00F45123"/>
    <w:rsid w:val="00F45370"/>
    <w:rsid w:val="00F454BD"/>
    <w:rsid w:val="00F458FD"/>
    <w:rsid w:val="00F47737"/>
    <w:rsid w:val="00F5098B"/>
    <w:rsid w:val="00F512F7"/>
    <w:rsid w:val="00F51E9A"/>
    <w:rsid w:val="00F523E6"/>
    <w:rsid w:val="00F525AD"/>
    <w:rsid w:val="00F527B5"/>
    <w:rsid w:val="00F53460"/>
    <w:rsid w:val="00F56D35"/>
    <w:rsid w:val="00F5718C"/>
    <w:rsid w:val="00F57B11"/>
    <w:rsid w:val="00F609E1"/>
    <w:rsid w:val="00F60A53"/>
    <w:rsid w:val="00F60C9A"/>
    <w:rsid w:val="00F61204"/>
    <w:rsid w:val="00F619EF"/>
    <w:rsid w:val="00F62170"/>
    <w:rsid w:val="00F62DB3"/>
    <w:rsid w:val="00F64933"/>
    <w:rsid w:val="00F65367"/>
    <w:rsid w:val="00F67947"/>
    <w:rsid w:val="00F67F7F"/>
    <w:rsid w:val="00F7059D"/>
    <w:rsid w:val="00F71B0E"/>
    <w:rsid w:val="00F720FC"/>
    <w:rsid w:val="00F72525"/>
    <w:rsid w:val="00F7314F"/>
    <w:rsid w:val="00F73FBD"/>
    <w:rsid w:val="00F74728"/>
    <w:rsid w:val="00F75F28"/>
    <w:rsid w:val="00F76D38"/>
    <w:rsid w:val="00F77FBF"/>
    <w:rsid w:val="00F801B2"/>
    <w:rsid w:val="00F80535"/>
    <w:rsid w:val="00F824D3"/>
    <w:rsid w:val="00F83027"/>
    <w:rsid w:val="00F83537"/>
    <w:rsid w:val="00F837E0"/>
    <w:rsid w:val="00F839A1"/>
    <w:rsid w:val="00F842A5"/>
    <w:rsid w:val="00F8486E"/>
    <w:rsid w:val="00F84B4C"/>
    <w:rsid w:val="00F8563A"/>
    <w:rsid w:val="00F8709D"/>
    <w:rsid w:val="00F874F5"/>
    <w:rsid w:val="00F916B1"/>
    <w:rsid w:val="00F91D40"/>
    <w:rsid w:val="00F93A24"/>
    <w:rsid w:val="00F93B98"/>
    <w:rsid w:val="00F949F4"/>
    <w:rsid w:val="00F94C21"/>
    <w:rsid w:val="00F94E17"/>
    <w:rsid w:val="00F95E2C"/>
    <w:rsid w:val="00F9616A"/>
    <w:rsid w:val="00F9673F"/>
    <w:rsid w:val="00F96919"/>
    <w:rsid w:val="00FA01DE"/>
    <w:rsid w:val="00FA192C"/>
    <w:rsid w:val="00FA1D3D"/>
    <w:rsid w:val="00FA2B14"/>
    <w:rsid w:val="00FA2C9A"/>
    <w:rsid w:val="00FA30C8"/>
    <w:rsid w:val="00FA4212"/>
    <w:rsid w:val="00FA7F87"/>
    <w:rsid w:val="00FB1A66"/>
    <w:rsid w:val="00FB1D3B"/>
    <w:rsid w:val="00FB28BE"/>
    <w:rsid w:val="00FB2EAA"/>
    <w:rsid w:val="00FB33EE"/>
    <w:rsid w:val="00FB37B8"/>
    <w:rsid w:val="00FB3CE1"/>
    <w:rsid w:val="00FB4810"/>
    <w:rsid w:val="00FB4899"/>
    <w:rsid w:val="00FB4BC0"/>
    <w:rsid w:val="00FB4E6E"/>
    <w:rsid w:val="00FB4EB0"/>
    <w:rsid w:val="00FB5001"/>
    <w:rsid w:val="00FB5D40"/>
    <w:rsid w:val="00FB5F3C"/>
    <w:rsid w:val="00FB70DF"/>
    <w:rsid w:val="00FB7E9A"/>
    <w:rsid w:val="00FC0E3F"/>
    <w:rsid w:val="00FC33C8"/>
    <w:rsid w:val="00FC3923"/>
    <w:rsid w:val="00FC3FEB"/>
    <w:rsid w:val="00FC43B3"/>
    <w:rsid w:val="00FC56B5"/>
    <w:rsid w:val="00FC5E55"/>
    <w:rsid w:val="00FC6919"/>
    <w:rsid w:val="00FD0617"/>
    <w:rsid w:val="00FD0998"/>
    <w:rsid w:val="00FD1D7C"/>
    <w:rsid w:val="00FD3995"/>
    <w:rsid w:val="00FD44DF"/>
    <w:rsid w:val="00FD4EE2"/>
    <w:rsid w:val="00FD5493"/>
    <w:rsid w:val="00FD5F6F"/>
    <w:rsid w:val="00FD69DC"/>
    <w:rsid w:val="00FD79D0"/>
    <w:rsid w:val="00FD7D13"/>
    <w:rsid w:val="00FE01BF"/>
    <w:rsid w:val="00FE12E1"/>
    <w:rsid w:val="00FE1638"/>
    <w:rsid w:val="00FE1E3B"/>
    <w:rsid w:val="00FE1F7A"/>
    <w:rsid w:val="00FE211E"/>
    <w:rsid w:val="00FE242E"/>
    <w:rsid w:val="00FE2C9B"/>
    <w:rsid w:val="00FE3639"/>
    <w:rsid w:val="00FE4C75"/>
    <w:rsid w:val="00FE586D"/>
    <w:rsid w:val="00FE59C4"/>
    <w:rsid w:val="00FE6264"/>
    <w:rsid w:val="00FE69E2"/>
    <w:rsid w:val="00FE7212"/>
    <w:rsid w:val="00FE730E"/>
    <w:rsid w:val="00FF061D"/>
    <w:rsid w:val="00FF1316"/>
    <w:rsid w:val="00FF3857"/>
    <w:rsid w:val="00FF3AB2"/>
    <w:rsid w:val="00FF3C9A"/>
    <w:rsid w:val="00FF3DB7"/>
    <w:rsid w:val="00FF4BEB"/>
    <w:rsid w:val="00FF4D60"/>
    <w:rsid w:val="00FF51C2"/>
    <w:rsid w:val="00FF5782"/>
    <w:rsid w:val="00FF591C"/>
    <w:rsid w:val="00FF6A5A"/>
    <w:rsid w:val="026FA3E2"/>
    <w:rsid w:val="03404754"/>
    <w:rsid w:val="03F42920"/>
    <w:rsid w:val="03F71FFA"/>
    <w:rsid w:val="04387BD7"/>
    <w:rsid w:val="0487000D"/>
    <w:rsid w:val="05156E12"/>
    <w:rsid w:val="06AC6C13"/>
    <w:rsid w:val="06D11806"/>
    <w:rsid w:val="0731FBB7"/>
    <w:rsid w:val="0772786B"/>
    <w:rsid w:val="08D3162F"/>
    <w:rsid w:val="098C62BC"/>
    <w:rsid w:val="0A66B3C9"/>
    <w:rsid w:val="0AAB260D"/>
    <w:rsid w:val="0B31923D"/>
    <w:rsid w:val="0BB1F5E0"/>
    <w:rsid w:val="0C059676"/>
    <w:rsid w:val="0C0EA3A0"/>
    <w:rsid w:val="0C51E278"/>
    <w:rsid w:val="0D3E1D87"/>
    <w:rsid w:val="0DEFC852"/>
    <w:rsid w:val="0E7ECE8C"/>
    <w:rsid w:val="0EDB2770"/>
    <w:rsid w:val="10248AE9"/>
    <w:rsid w:val="105C7016"/>
    <w:rsid w:val="106C5B2B"/>
    <w:rsid w:val="10D8AD8A"/>
    <w:rsid w:val="1204E4BC"/>
    <w:rsid w:val="12287A26"/>
    <w:rsid w:val="12309205"/>
    <w:rsid w:val="127166EA"/>
    <w:rsid w:val="128B761D"/>
    <w:rsid w:val="12B30281"/>
    <w:rsid w:val="12B904A0"/>
    <w:rsid w:val="12C56554"/>
    <w:rsid w:val="12F86414"/>
    <w:rsid w:val="1327DDE3"/>
    <w:rsid w:val="14058B8C"/>
    <w:rsid w:val="1409C287"/>
    <w:rsid w:val="161A5018"/>
    <w:rsid w:val="167AACC2"/>
    <w:rsid w:val="17192851"/>
    <w:rsid w:val="1788B21E"/>
    <w:rsid w:val="180E41F7"/>
    <w:rsid w:val="18346ADD"/>
    <w:rsid w:val="18E4A2ED"/>
    <w:rsid w:val="1947FB55"/>
    <w:rsid w:val="198DBA83"/>
    <w:rsid w:val="1AF14E90"/>
    <w:rsid w:val="1CA007B4"/>
    <w:rsid w:val="1D004532"/>
    <w:rsid w:val="1DA35393"/>
    <w:rsid w:val="1DF269F6"/>
    <w:rsid w:val="1E3F63E6"/>
    <w:rsid w:val="1E691432"/>
    <w:rsid w:val="1E7F517A"/>
    <w:rsid w:val="1F0B0A11"/>
    <w:rsid w:val="1F4C04F4"/>
    <w:rsid w:val="1F66E489"/>
    <w:rsid w:val="1FECF9E8"/>
    <w:rsid w:val="20AB61FB"/>
    <w:rsid w:val="21E60CF1"/>
    <w:rsid w:val="221D20F9"/>
    <w:rsid w:val="227FB53A"/>
    <w:rsid w:val="232FF118"/>
    <w:rsid w:val="234B1629"/>
    <w:rsid w:val="24D3ACAD"/>
    <w:rsid w:val="25587C4C"/>
    <w:rsid w:val="256585A2"/>
    <w:rsid w:val="25C97377"/>
    <w:rsid w:val="26870417"/>
    <w:rsid w:val="26B1FEC3"/>
    <w:rsid w:val="276CB361"/>
    <w:rsid w:val="2821B521"/>
    <w:rsid w:val="29B6EFE6"/>
    <w:rsid w:val="29FAE4F4"/>
    <w:rsid w:val="2A88AE94"/>
    <w:rsid w:val="2ADF6FE6"/>
    <w:rsid w:val="2B4B398D"/>
    <w:rsid w:val="2B6D7046"/>
    <w:rsid w:val="2C713371"/>
    <w:rsid w:val="2D2D664A"/>
    <w:rsid w:val="2D6945EB"/>
    <w:rsid w:val="2E0CD6E7"/>
    <w:rsid w:val="2ECDBE9F"/>
    <w:rsid w:val="2F72CB61"/>
    <w:rsid w:val="2F75A319"/>
    <w:rsid w:val="2FC5A4DF"/>
    <w:rsid w:val="2FE88AC7"/>
    <w:rsid w:val="311DB6C0"/>
    <w:rsid w:val="3192ECFA"/>
    <w:rsid w:val="31C480A1"/>
    <w:rsid w:val="3214F1E1"/>
    <w:rsid w:val="32A76750"/>
    <w:rsid w:val="32C2F237"/>
    <w:rsid w:val="33834317"/>
    <w:rsid w:val="342F920B"/>
    <w:rsid w:val="3456FBB5"/>
    <w:rsid w:val="34FCEFFC"/>
    <w:rsid w:val="3585139F"/>
    <w:rsid w:val="364427E0"/>
    <w:rsid w:val="36919675"/>
    <w:rsid w:val="36B5F05C"/>
    <w:rsid w:val="384E93CF"/>
    <w:rsid w:val="38722944"/>
    <w:rsid w:val="38C458B1"/>
    <w:rsid w:val="393D2BC3"/>
    <w:rsid w:val="3A00328E"/>
    <w:rsid w:val="3B36B8CA"/>
    <w:rsid w:val="3C096F6C"/>
    <w:rsid w:val="3D4BE0FB"/>
    <w:rsid w:val="3D7BB79F"/>
    <w:rsid w:val="3E1E7FC8"/>
    <w:rsid w:val="3E61E211"/>
    <w:rsid w:val="3E8131A0"/>
    <w:rsid w:val="3F238D7A"/>
    <w:rsid w:val="3FAE6B6E"/>
    <w:rsid w:val="3FD6C547"/>
    <w:rsid w:val="40185504"/>
    <w:rsid w:val="413DC167"/>
    <w:rsid w:val="4140F02A"/>
    <w:rsid w:val="41706A8C"/>
    <w:rsid w:val="4291DDF3"/>
    <w:rsid w:val="43C9CFB8"/>
    <w:rsid w:val="44303869"/>
    <w:rsid w:val="4451E4C9"/>
    <w:rsid w:val="44C117C2"/>
    <w:rsid w:val="44CBF003"/>
    <w:rsid w:val="45850B58"/>
    <w:rsid w:val="45DB1D54"/>
    <w:rsid w:val="467A8878"/>
    <w:rsid w:val="470490EA"/>
    <w:rsid w:val="47103843"/>
    <w:rsid w:val="48ED6984"/>
    <w:rsid w:val="48FC9298"/>
    <w:rsid w:val="49016050"/>
    <w:rsid w:val="4904BD0C"/>
    <w:rsid w:val="494A2572"/>
    <w:rsid w:val="49AC8D34"/>
    <w:rsid w:val="4A5DA993"/>
    <w:rsid w:val="4A75E102"/>
    <w:rsid w:val="4BEB350E"/>
    <w:rsid w:val="4C4FB043"/>
    <w:rsid w:val="4C4FB96B"/>
    <w:rsid w:val="4CA19DED"/>
    <w:rsid w:val="4D1A71F4"/>
    <w:rsid w:val="4D38A18B"/>
    <w:rsid w:val="4D3FB0A0"/>
    <w:rsid w:val="4F06C55F"/>
    <w:rsid w:val="4F2A14C3"/>
    <w:rsid w:val="4FCAA51E"/>
    <w:rsid w:val="50E1C5D5"/>
    <w:rsid w:val="521750A3"/>
    <w:rsid w:val="5280CC5F"/>
    <w:rsid w:val="545159C4"/>
    <w:rsid w:val="5514435E"/>
    <w:rsid w:val="5526F401"/>
    <w:rsid w:val="5793A415"/>
    <w:rsid w:val="57BCFF97"/>
    <w:rsid w:val="57BE943D"/>
    <w:rsid w:val="57E6EF6D"/>
    <w:rsid w:val="5891B970"/>
    <w:rsid w:val="58B04C09"/>
    <w:rsid w:val="596BF958"/>
    <w:rsid w:val="5AD02419"/>
    <w:rsid w:val="5B7D56B4"/>
    <w:rsid w:val="5C2C2A5B"/>
    <w:rsid w:val="5C7186E1"/>
    <w:rsid w:val="5F2EA2A5"/>
    <w:rsid w:val="5F6284C9"/>
    <w:rsid w:val="6039B296"/>
    <w:rsid w:val="60D98F58"/>
    <w:rsid w:val="6259D0EE"/>
    <w:rsid w:val="6261952C"/>
    <w:rsid w:val="62CAC831"/>
    <w:rsid w:val="62E6830E"/>
    <w:rsid w:val="63BD13DC"/>
    <w:rsid w:val="63EF9A53"/>
    <w:rsid w:val="63F94240"/>
    <w:rsid w:val="643B4588"/>
    <w:rsid w:val="646C2838"/>
    <w:rsid w:val="64D1A16A"/>
    <w:rsid w:val="650A9C35"/>
    <w:rsid w:val="658D4E63"/>
    <w:rsid w:val="65B249C5"/>
    <w:rsid w:val="6731DE9E"/>
    <w:rsid w:val="67B5E24B"/>
    <w:rsid w:val="67DCFC13"/>
    <w:rsid w:val="688AB0D1"/>
    <w:rsid w:val="6943FF71"/>
    <w:rsid w:val="695306FC"/>
    <w:rsid w:val="6A3634BB"/>
    <w:rsid w:val="6AA42027"/>
    <w:rsid w:val="6ABB2C70"/>
    <w:rsid w:val="6B4B19CF"/>
    <w:rsid w:val="6BC3E52A"/>
    <w:rsid w:val="6CC0429C"/>
    <w:rsid w:val="6DBEF7A6"/>
    <w:rsid w:val="6E53EE21"/>
    <w:rsid w:val="6EBD30AC"/>
    <w:rsid w:val="6EDA4A7C"/>
    <w:rsid w:val="6F978106"/>
    <w:rsid w:val="6FA37098"/>
    <w:rsid w:val="6FF1D7E8"/>
    <w:rsid w:val="700CDDF2"/>
    <w:rsid w:val="70134AB0"/>
    <w:rsid w:val="708F8CB4"/>
    <w:rsid w:val="7091C6A7"/>
    <w:rsid w:val="713ACB24"/>
    <w:rsid w:val="71475141"/>
    <w:rsid w:val="729FDDB0"/>
    <w:rsid w:val="72A6148C"/>
    <w:rsid w:val="7328E132"/>
    <w:rsid w:val="73736874"/>
    <w:rsid w:val="74E04F15"/>
    <w:rsid w:val="7510725D"/>
    <w:rsid w:val="76CB7E4B"/>
    <w:rsid w:val="770073DD"/>
    <w:rsid w:val="78812168"/>
    <w:rsid w:val="795F8548"/>
    <w:rsid w:val="7988BCA4"/>
    <w:rsid w:val="7A246F21"/>
    <w:rsid w:val="7A63B165"/>
    <w:rsid w:val="7AB7A8FC"/>
    <w:rsid w:val="7B8806D2"/>
    <w:rsid w:val="7BA5C1B0"/>
    <w:rsid w:val="7BE3F1EE"/>
    <w:rsid w:val="7D263354"/>
    <w:rsid w:val="7D32993B"/>
    <w:rsid w:val="7D4E45B0"/>
    <w:rsid w:val="7D5F20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4C87D"/>
  <w15:docId w15:val="{72FDDF56-1056-4D13-823C-D7E2971D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7C4C38"/>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7C4C38"/>
    <w:rPr>
      <w:rFonts w:ascii="Arial" w:hAnsi="Arial" w:cs="Arial"/>
      <w:b/>
      <w:bCs/>
      <w:color w:val="005EB8"/>
      <w:kern w:val="28"/>
      <w:sz w:val="80"/>
      <w:szCs w:val="32"/>
      <w14:ligatures w14:val="standardContextual"/>
    </w:rPr>
  </w:style>
  <w:style w:type="paragraph" w:styleId="ListParagraph">
    <w:name w:val="List Paragraph"/>
    <w:aliases w:val="F5 List Paragraph,List Paragraph1,Dot pt,List Paragraph Char Char Char,Indicator Text,Colorful List - Accent 11,Numbered Para 1,Bullet 1,Bullet Points,MAIN CONTENT,List Paragraph2,Normal numbered,List Paragraph11,OBC Bullet,No Spacing1,L"/>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aliases w:val="F5 List Paragraph Char,List Paragraph1 Char,Dot pt Char,List Paragraph Char Char Char Char,Indicator Text Char,Colorful List - Accent 11 Char,Numbered Para 1 Char,Bullet 1 Char,Bullet Points Char,MAIN CONTENT Char,OBC Bullet Char"/>
    <w:basedOn w:val="DefaultParagraphFont"/>
    <w:link w:val="ListParagraph"/>
    <w:uiPriority w:val="34"/>
    <w:qFormat/>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5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FootnoteText">
    <w:name w:val="footnote text"/>
    <w:basedOn w:val="Normal"/>
    <w:link w:val="FootnoteTextChar"/>
    <w:uiPriority w:val="99"/>
    <w:semiHidden/>
    <w:unhideWhenUsed/>
    <w:rsid w:val="00EC0E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EB2"/>
    <w:rPr>
      <w:rFonts w:ascii="Arial" w:hAnsi="Arial"/>
      <w:color w:val="000000"/>
    </w:rPr>
  </w:style>
  <w:style w:type="paragraph" w:styleId="BodyText">
    <w:name w:val="Body Text"/>
    <w:basedOn w:val="Normal"/>
    <w:link w:val="BodyTextChar"/>
    <w:qFormat/>
    <w:rsid w:val="00EC0EB2"/>
    <w:pPr>
      <w:textboxTightWrap w:val="none"/>
    </w:pPr>
    <w:rPr>
      <w:rFonts w:eastAsiaTheme="minorHAnsi" w:cstheme="minorBidi"/>
      <w:color w:val="231F20"/>
    </w:rPr>
  </w:style>
  <w:style w:type="character" w:customStyle="1" w:styleId="BodyTextChar">
    <w:name w:val="Body Text Char"/>
    <w:basedOn w:val="DefaultParagraphFont"/>
    <w:link w:val="BodyText"/>
    <w:rsid w:val="00EC0EB2"/>
    <w:rPr>
      <w:rFonts w:ascii="Arial" w:eastAsiaTheme="minorHAnsi" w:hAnsi="Arial" w:cstheme="minorBidi"/>
      <w:color w:val="231F20"/>
      <w:sz w:val="24"/>
      <w:szCs w:val="24"/>
    </w:rPr>
  </w:style>
  <w:style w:type="character" w:styleId="Mention">
    <w:name w:val="Mention"/>
    <w:basedOn w:val="DefaultParagraphFont"/>
    <w:uiPriority w:val="99"/>
    <w:unhideWhenUsed/>
    <w:rsid w:val="00D63C94"/>
    <w:rPr>
      <w:color w:val="2B579A"/>
      <w:shd w:val="clear" w:color="auto" w:fill="E1DFDD"/>
    </w:rPr>
  </w:style>
  <w:style w:type="table" w:styleId="TableGridLight">
    <w:name w:val="Grid Table Light"/>
    <w:basedOn w:val="TableNormal"/>
    <w:uiPriority w:val="40"/>
    <w:rsid w:val="00D63C94"/>
    <w:tblPr>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
  </w:style>
  <w:style w:type="table" w:customStyle="1" w:styleId="NHSTableDarkBlue">
    <w:name w:val="NHS Table Dark Blue"/>
    <w:basedOn w:val="TableNormal"/>
    <w:uiPriority w:val="99"/>
    <w:rsid w:val="00FA7F87"/>
    <w:rPr>
      <w:rFonts w:ascii="Arial" w:eastAsia="Calibri" w:hAnsi="Arial"/>
      <w:color w:val="231F20"/>
      <w:sz w:val="24"/>
      <w:szCs w:val="24"/>
    </w:rPr>
    <w:tblPr>
      <w:tblStyleRowBandSize w:val="1"/>
      <w:tblBorders>
        <w:insideH w:val="single" w:sz="4" w:space="0" w:color="005EB8"/>
        <w:insideV w:val="single" w:sz="4" w:space="0" w:color="005EB8"/>
      </w:tblBorders>
      <w:tblCellMar>
        <w:top w:w="113" w:type="dxa"/>
        <w:bottom w:w="113" w:type="dxa"/>
      </w:tblCellMar>
    </w:tblPr>
    <w:tblStylePr w:type="firstRow">
      <w:rPr>
        <w:rFonts w:ascii="Adobe Heiti Std R" w:hAnsi="Adobe Heiti Std R"/>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paragraph" w:styleId="BodyText2">
    <w:name w:val="Body Text 2"/>
    <w:basedOn w:val="Normal"/>
    <w:link w:val="BodyText2Char"/>
    <w:unhideWhenUsed/>
    <w:qFormat/>
    <w:rsid w:val="00FA7F87"/>
    <w:pPr>
      <w:spacing w:after="120" w:line="480" w:lineRule="auto"/>
    </w:pPr>
  </w:style>
  <w:style w:type="character" w:customStyle="1" w:styleId="BodyText2Char">
    <w:name w:val="Body Text 2 Char"/>
    <w:basedOn w:val="DefaultParagraphFont"/>
    <w:link w:val="BodyText2"/>
    <w:rsid w:val="00FA7F87"/>
    <w:rPr>
      <w:rFonts w:ascii="Arial" w:hAnsi="Arial"/>
      <w:color w:val="000000"/>
      <w:sz w:val="24"/>
      <w:szCs w:val="24"/>
    </w:rPr>
  </w:style>
  <w:style w:type="paragraph" w:styleId="Revision">
    <w:name w:val="Revision"/>
    <w:hidden/>
    <w:uiPriority w:val="99"/>
    <w:semiHidden/>
    <w:rsid w:val="00462AB1"/>
    <w:rPr>
      <w:rFonts w:ascii="Arial" w:hAnsi="Arial"/>
      <w:color w:val="000000"/>
      <w:sz w:val="24"/>
      <w:szCs w:val="24"/>
    </w:rPr>
  </w:style>
  <w:style w:type="table" w:customStyle="1" w:styleId="TableGrid1">
    <w:name w:val="Table Grid1"/>
    <w:basedOn w:val="TableNormal"/>
    <w:next w:val="TableGrid"/>
    <w:uiPriority w:val="59"/>
    <w:rsid w:val="00263EAD"/>
    <w:pPr>
      <w:spacing w:before="60" w:after="60"/>
    </w:pPr>
    <w:rPr>
      <w:rFonts w:ascii="Arial" w:hAnsi="Arial"/>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sz w:val="22"/>
      </w:rPr>
    </w:tblStylePr>
  </w:style>
  <w:style w:type="numbering" w:customStyle="1" w:styleId="NHSBullets">
    <w:name w:val="NHS Bullets"/>
    <w:rsid w:val="00263EAD"/>
    <w:pPr>
      <w:numPr>
        <w:numId w:val="17"/>
      </w:numPr>
    </w:pPr>
  </w:style>
  <w:style w:type="character" w:customStyle="1" w:styleId="normaltextrun">
    <w:name w:val="normaltextrun"/>
    <w:basedOn w:val="DefaultParagraphFont"/>
    <w:rsid w:val="0096357F"/>
  </w:style>
  <w:style w:type="character" w:customStyle="1" w:styleId="eop">
    <w:name w:val="eop"/>
    <w:basedOn w:val="DefaultParagraphFont"/>
    <w:rsid w:val="0096357F"/>
  </w:style>
  <w:style w:type="character" w:customStyle="1" w:styleId="fui-primitive">
    <w:name w:val="fui-primitive"/>
    <w:basedOn w:val="DefaultParagraphFont"/>
    <w:rsid w:val="00FB5F3C"/>
  </w:style>
  <w:style w:type="paragraph" w:styleId="NormalWeb">
    <w:name w:val="Normal (Web)"/>
    <w:basedOn w:val="Normal"/>
    <w:uiPriority w:val="99"/>
    <w:unhideWhenUsed/>
    <w:rsid w:val="00FB5F3C"/>
    <w:pPr>
      <w:spacing w:before="100" w:beforeAutospacing="1" w:after="100" w:afterAutospacing="1" w:line="240" w:lineRule="auto"/>
      <w:textboxTightWrap w:val="none"/>
    </w:pPr>
    <w:rPr>
      <w:rFonts w:ascii="Times New Roman" w:hAnsi="Times New Roman"/>
      <w:color w:val="auto"/>
      <w:lang w:eastAsia="en-GB"/>
    </w:rPr>
  </w:style>
  <w:style w:type="character" w:customStyle="1" w:styleId="fui-styledtext">
    <w:name w:val="fui-styledtext"/>
    <w:basedOn w:val="DefaultParagraphFont"/>
    <w:rsid w:val="00FB5F3C"/>
  </w:style>
  <w:style w:type="table" w:customStyle="1" w:styleId="TableGrid2">
    <w:name w:val="Table Grid2"/>
    <w:basedOn w:val="TableNormal"/>
    <w:next w:val="TableGrid"/>
    <w:uiPriority w:val="59"/>
    <w:rsid w:val="00892B68"/>
    <w:pPr>
      <w:spacing w:before="60" w:after="60"/>
    </w:pPr>
    <w:rPr>
      <w:rFonts w:ascii="Arial" w:hAnsi="Arial"/>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sz w:val="22"/>
      </w:rPr>
    </w:tblStylePr>
  </w:style>
  <w:style w:type="numbering" w:customStyle="1" w:styleId="NHSBullets1">
    <w:name w:val="NHS Bullets1"/>
    <w:rsid w:val="00892B68"/>
  </w:style>
  <w:style w:type="character" w:styleId="UnresolvedMention">
    <w:name w:val="Unresolved Mention"/>
    <w:basedOn w:val="DefaultParagraphFont"/>
    <w:uiPriority w:val="99"/>
    <w:semiHidden/>
    <w:unhideWhenUsed/>
    <w:rsid w:val="00892B68"/>
    <w:rPr>
      <w:color w:val="605E5C"/>
      <w:shd w:val="clear" w:color="auto" w:fill="E1DFDD"/>
    </w:rPr>
  </w:style>
  <w:style w:type="table" w:customStyle="1" w:styleId="TableGrid3">
    <w:name w:val="Table Grid3"/>
    <w:basedOn w:val="TableNormal"/>
    <w:next w:val="TableGrid"/>
    <w:uiPriority w:val="39"/>
    <w:rsid w:val="00B25BB1"/>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A22F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A2900"/>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5222">
      <w:bodyDiv w:val="1"/>
      <w:marLeft w:val="0"/>
      <w:marRight w:val="0"/>
      <w:marTop w:val="0"/>
      <w:marBottom w:val="0"/>
      <w:divBdr>
        <w:top w:val="none" w:sz="0" w:space="0" w:color="auto"/>
        <w:left w:val="none" w:sz="0" w:space="0" w:color="auto"/>
        <w:bottom w:val="none" w:sz="0" w:space="0" w:color="auto"/>
        <w:right w:val="none" w:sz="0" w:space="0" w:color="auto"/>
      </w:divBdr>
      <w:divsChild>
        <w:div w:id="2023584591">
          <w:marLeft w:val="274"/>
          <w:marRight w:val="0"/>
          <w:marTop w:val="0"/>
          <w:marBottom w:val="80"/>
          <w:divBdr>
            <w:top w:val="none" w:sz="0" w:space="0" w:color="auto"/>
            <w:left w:val="none" w:sz="0" w:space="0" w:color="auto"/>
            <w:bottom w:val="none" w:sz="0" w:space="0" w:color="auto"/>
            <w:right w:val="none" w:sz="0" w:space="0" w:color="auto"/>
          </w:divBdr>
        </w:div>
        <w:div w:id="1685206400">
          <w:marLeft w:val="274"/>
          <w:marRight w:val="0"/>
          <w:marTop w:val="0"/>
          <w:marBottom w:val="80"/>
          <w:divBdr>
            <w:top w:val="none" w:sz="0" w:space="0" w:color="auto"/>
            <w:left w:val="none" w:sz="0" w:space="0" w:color="auto"/>
            <w:bottom w:val="none" w:sz="0" w:space="0" w:color="auto"/>
            <w:right w:val="none" w:sz="0" w:space="0" w:color="auto"/>
          </w:divBdr>
        </w:div>
        <w:div w:id="425350759">
          <w:marLeft w:val="274"/>
          <w:marRight w:val="0"/>
          <w:marTop w:val="0"/>
          <w:marBottom w:val="80"/>
          <w:divBdr>
            <w:top w:val="none" w:sz="0" w:space="0" w:color="auto"/>
            <w:left w:val="none" w:sz="0" w:space="0" w:color="auto"/>
            <w:bottom w:val="none" w:sz="0" w:space="0" w:color="auto"/>
            <w:right w:val="none" w:sz="0" w:space="0" w:color="auto"/>
          </w:divBdr>
        </w:div>
        <w:div w:id="213085498">
          <w:marLeft w:val="274"/>
          <w:marRight w:val="0"/>
          <w:marTop w:val="0"/>
          <w:marBottom w:val="80"/>
          <w:divBdr>
            <w:top w:val="none" w:sz="0" w:space="0" w:color="auto"/>
            <w:left w:val="none" w:sz="0" w:space="0" w:color="auto"/>
            <w:bottom w:val="none" w:sz="0" w:space="0" w:color="auto"/>
            <w:right w:val="none" w:sz="0" w:space="0" w:color="auto"/>
          </w:divBdr>
        </w:div>
      </w:divsChild>
    </w:div>
    <w:div w:id="182087192">
      <w:bodyDiv w:val="1"/>
      <w:marLeft w:val="0"/>
      <w:marRight w:val="0"/>
      <w:marTop w:val="0"/>
      <w:marBottom w:val="0"/>
      <w:divBdr>
        <w:top w:val="none" w:sz="0" w:space="0" w:color="auto"/>
        <w:left w:val="none" w:sz="0" w:space="0" w:color="auto"/>
        <w:bottom w:val="none" w:sz="0" w:space="0" w:color="auto"/>
        <w:right w:val="none" w:sz="0" w:space="0" w:color="auto"/>
      </w:divBdr>
      <w:divsChild>
        <w:div w:id="1298031711">
          <w:marLeft w:val="274"/>
          <w:marRight w:val="0"/>
          <w:marTop w:val="0"/>
          <w:marBottom w:val="60"/>
          <w:divBdr>
            <w:top w:val="none" w:sz="0" w:space="0" w:color="auto"/>
            <w:left w:val="none" w:sz="0" w:space="0" w:color="auto"/>
            <w:bottom w:val="none" w:sz="0" w:space="0" w:color="auto"/>
            <w:right w:val="none" w:sz="0" w:space="0" w:color="auto"/>
          </w:divBdr>
        </w:div>
        <w:div w:id="2040664707">
          <w:marLeft w:val="274"/>
          <w:marRight w:val="0"/>
          <w:marTop w:val="0"/>
          <w:marBottom w:val="60"/>
          <w:divBdr>
            <w:top w:val="none" w:sz="0" w:space="0" w:color="auto"/>
            <w:left w:val="none" w:sz="0" w:space="0" w:color="auto"/>
            <w:bottom w:val="none" w:sz="0" w:space="0" w:color="auto"/>
            <w:right w:val="none" w:sz="0" w:space="0" w:color="auto"/>
          </w:divBdr>
        </w:div>
        <w:div w:id="2001537412">
          <w:marLeft w:val="274"/>
          <w:marRight w:val="0"/>
          <w:marTop w:val="0"/>
          <w:marBottom w:val="60"/>
          <w:divBdr>
            <w:top w:val="none" w:sz="0" w:space="0" w:color="auto"/>
            <w:left w:val="none" w:sz="0" w:space="0" w:color="auto"/>
            <w:bottom w:val="none" w:sz="0" w:space="0" w:color="auto"/>
            <w:right w:val="none" w:sz="0" w:space="0" w:color="auto"/>
          </w:divBdr>
        </w:div>
      </w:divsChild>
    </w:div>
    <w:div w:id="445514484">
      <w:bodyDiv w:val="1"/>
      <w:marLeft w:val="0"/>
      <w:marRight w:val="0"/>
      <w:marTop w:val="0"/>
      <w:marBottom w:val="0"/>
      <w:divBdr>
        <w:top w:val="none" w:sz="0" w:space="0" w:color="auto"/>
        <w:left w:val="none" w:sz="0" w:space="0" w:color="auto"/>
        <w:bottom w:val="none" w:sz="0" w:space="0" w:color="auto"/>
        <w:right w:val="none" w:sz="0" w:space="0" w:color="auto"/>
      </w:divBdr>
      <w:divsChild>
        <w:div w:id="2053768739">
          <w:marLeft w:val="274"/>
          <w:marRight w:val="0"/>
          <w:marTop w:val="0"/>
          <w:marBottom w:val="60"/>
          <w:divBdr>
            <w:top w:val="none" w:sz="0" w:space="0" w:color="auto"/>
            <w:left w:val="none" w:sz="0" w:space="0" w:color="auto"/>
            <w:bottom w:val="none" w:sz="0" w:space="0" w:color="auto"/>
            <w:right w:val="none" w:sz="0" w:space="0" w:color="auto"/>
          </w:divBdr>
        </w:div>
        <w:div w:id="2002612233">
          <w:marLeft w:val="576"/>
          <w:marRight w:val="0"/>
          <w:marTop w:val="0"/>
          <w:marBottom w:val="60"/>
          <w:divBdr>
            <w:top w:val="none" w:sz="0" w:space="0" w:color="auto"/>
            <w:left w:val="none" w:sz="0" w:space="0" w:color="auto"/>
            <w:bottom w:val="none" w:sz="0" w:space="0" w:color="auto"/>
            <w:right w:val="none" w:sz="0" w:space="0" w:color="auto"/>
          </w:divBdr>
        </w:div>
        <w:div w:id="289289393">
          <w:marLeft w:val="576"/>
          <w:marRight w:val="0"/>
          <w:marTop w:val="0"/>
          <w:marBottom w:val="60"/>
          <w:divBdr>
            <w:top w:val="none" w:sz="0" w:space="0" w:color="auto"/>
            <w:left w:val="none" w:sz="0" w:space="0" w:color="auto"/>
            <w:bottom w:val="none" w:sz="0" w:space="0" w:color="auto"/>
            <w:right w:val="none" w:sz="0" w:space="0" w:color="auto"/>
          </w:divBdr>
        </w:div>
        <w:div w:id="668095774">
          <w:marLeft w:val="576"/>
          <w:marRight w:val="0"/>
          <w:marTop w:val="0"/>
          <w:marBottom w:val="60"/>
          <w:divBdr>
            <w:top w:val="none" w:sz="0" w:space="0" w:color="auto"/>
            <w:left w:val="none" w:sz="0" w:space="0" w:color="auto"/>
            <w:bottom w:val="none" w:sz="0" w:space="0" w:color="auto"/>
            <w:right w:val="none" w:sz="0" w:space="0" w:color="auto"/>
          </w:divBdr>
        </w:div>
        <w:div w:id="362169943">
          <w:marLeft w:val="274"/>
          <w:marRight w:val="0"/>
          <w:marTop w:val="0"/>
          <w:marBottom w:val="160"/>
          <w:divBdr>
            <w:top w:val="none" w:sz="0" w:space="0" w:color="auto"/>
            <w:left w:val="none" w:sz="0" w:space="0" w:color="auto"/>
            <w:bottom w:val="none" w:sz="0" w:space="0" w:color="auto"/>
            <w:right w:val="none" w:sz="0" w:space="0" w:color="auto"/>
          </w:divBdr>
        </w:div>
      </w:divsChild>
    </w:div>
    <w:div w:id="495002411">
      <w:bodyDiv w:val="1"/>
      <w:marLeft w:val="0"/>
      <w:marRight w:val="0"/>
      <w:marTop w:val="0"/>
      <w:marBottom w:val="0"/>
      <w:divBdr>
        <w:top w:val="none" w:sz="0" w:space="0" w:color="auto"/>
        <w:left w:val="none" w:sz="0" w:space="0" w:color="auto"/>
        <w:bottom w:val="none" w:sz="0" w:space="0" w:color="auto"/>
        <w:right w:val="none" w:sz="0" w:space="0" w:color="auto"/>
      </w:divBdr>
    </w:div>
    <w:div w:id="655959156">
      <w:bodyDiv w:val="1"/>
      <w:marLeft w:val="0"/>
      <w:marRight w:val="0"/>
      <w:marTop w:val="0"/>
      <w:marBottom w:val="0"/>
      <w:divBdr>
        <w:top w:val="none" w:sz="0" w:space="0" w:color="auto"/>
        <w:left w:val="none" w:sz="0" w:space="0" w:color="auto"/>
        <w:bottom w:val="none" w:sz="0" w:space="0" w:color="auto"/>
        <w:right w:val="none" w:sz="0" w:space="0" w:color="auto"/>
      </w:divBdr>
    </w:div>
    <w:div w:id="740562806">
      <w:bodyDiv w:val="1"/>
      <w:marLeft w:val="0"/>
      <w:marRight w:val="0"/>
      <w:marTop w:val="0"/>
      <w:marBottom w:val="0"/>
      <w:divBdr>
        <w:top w:val="none" w:sz="0" w:space="0" w:color="auto"/>
        <w:left w:val="none" w:sz="0" w:space="0" w:color="auto"/>
        <w:bottom w:val="none" w:sz="0" w:space="0" w:color="auto"/>
        <w:right w:val="none" w:sz="0" w:space="0" w:color="auto"/>
      </w:divBdr>
    </w:div>
    <w:div w:id="788621580">
      <w:bodyDiv w:val="1"/>
      <w:marLeft w:val="0"/>
      <w:marRight w:val="0"/>
      <w:marTop w:val="0"/>
      <w:marBottom w:val="0"/>
      <w:divBdr>
        <w:top w:val="none" w:sz="0" w:space="0" w:color="auto"/>
        <w:left w:val="none" w:sz="0" w:space="0" w:color="auto"/>
        <w:bottom w:val="none" w:sz="0" w:space="0" w:color="auto"/>
        <w:right w:val="none" w:sz="0" w:space="0" w:color="auto"/>
      </w:divBdr>
      <w:divsChild>
        <w:div w:id="767624860">
          <w:marLeft w:val="274"/>
          <w:marRight w:val="0"/>
          <w:marTop w:val="0"/>
          <w:marBottom w:val="60"/>
          <w:divBdr>
            <w:top w:val="none" w:sz="0" w:space="0" w:color="auto"/>
            <w:left w:val="none" w:sz="0" w:space="0" w:color="auto"/>
            <w:bottom w:val="none" w:sz="0" w:space="0" w:color="auto"/>
            <w:right w:val="none" w:sz="0" w:space="0" w:color="auto"/>
          </w:divBdr>
        </w:div>
        <w:div w:id="1471242086">
          <w:marLeft w:val="576"/>
          <w:marRight w:val="0"/>
          <w:marTop w:val="0"/>
          <w:marBottom w:val="60"/>
          <w:divBdr>
            <w:top w:val="none" w:sz="0" w:space="0" w:color="auto"/>
            <w:left w:val="none" w:sz="0" w:space="0" w:color="auto"/>
            <w:bottom w:val="none" w:sz="0" w:space="0" w:color="auto"/>
            <w:right w:val="none" w:sz="0" w:space="0" w:color="auto"/>
          </w:divBdr>
        </w:div>
        <w:div w:id="766848376">
          <w:marLeft w:val="576"/>
          <w:marRight w:val="0"/>
          <w:marTop w:val="0"/>
          <w:marBottom w:val="60"/>
          <w:divBdr>
            <w:top w:val="none" w:sz="0" w:space="0" w:color="auto"/>
            <w:left w:val="none" w:sz="0" w:space="0" w:color="auto"/>
            <w:bottom w:val="none" w:sz="0" w:space="0" w:color="auto"/>
            <w:right w:val="none" w:sz="0" w:space="0" w:color="auto"/>
          </w:divBdr>
        </w:div>
        <w:div w:id="188613175">
          <w:marLeft w:val="576"/>
          <w:marRight w:val="0"/>
          <w:marTop w:val="0"/>
          <w:marBottom w:val="60"/>
          <w:divBdr>
            <w:top w:val="none" w:sz="0" w:space="0" w:color="auto"/>
            <w:left w:val="none" w:sz="0" w:space="0" w:color="auto"/>
            <w:bottom w:val="none" w:sz="0" w:space="0" w:color="auto"/>
            <w:right w:val="none" w:sz="0" w:space="0" w:color="auto"/>
          </w:divBdr>
        </w:div>
        <w:div w:id="831336946">
          <w:marLeft w:val="274"/>
          <w:marRight w:val="0"/>
          <w:marTop w:val="0"/>
          <w:marBottom w:val="160"/>
          <w:divBdr>
            <w:top w:val="none" w:sz="0" w:space="0" w:color="auto"/>
            <w:left w:val="none" w:sz="0" w:space="0" w:color="auto"/>
            <w:bottom w:val="none" w:sz="0" w:space="0" w:color="auto"/>
            <w:right w:val="none" w:sz="0" w:space="0" w:color="auto"/>
          </w:divBdr>
        </w:div>
      </w:divsChild>
    </w:div>
    <w:div w:id="808784706">
      <w:bodyDiv w:val="1"/>
      <w:marLeft w:val="0"/>
      <w:marRight w:val="0"/>
      <w:marTop w:val="0"/>
      <w:marBottom w:val="0"/>
      <w:divBdr>
        <w:top w:val="none" w:sz="0" w:space="0" w:color="auto"/>
        <w:left w:val="none" w:sz="0" w:space="0" w:color="auto"/>
        <w:bottom w:val="none" w:sz="0" w:space="0" w:color="auto"/>
        <w:right w:val="none" w:sz="0" w:space="0" w:color="auto"/>
      </w:divBdr>
    </w:div>
    <w:div w:id="811097461">
      <w:bodyDiv w:val="1"/>
      <w:marLeft w:val="0"/>
      <w:marRight w:val="0"/>
      <w:marTop w:val="0"/>
      <w:marBottom w:val="0"/>
      <w:divBdr>
        <w:top w:val="none" w:sz="0" w:space="0" w:color="auto"/>
        <w:left w:val="none" w:sz="0" w:space="0" w:color="auto"/>
        <w:bottom w:val="none" w:sz="0" w:space="0" w:color="auto"/>
        <w:right w:val="none" w:sz="0" w:space="0" w:color="auto"/>
      </w:divBdr>
    </w:div>
    <w:div w:id="852648027">
      <w:bodyDiv w:val="1"/>
      <w:marLeft w:val="0"/>
      <w:marRight w:val="0"/>
      <w:marTop w:val="0"/>
      <w:marBottom w:val="0"/>
      <w:divBdr>
        <w:top w:val="none" w:sz="0" w:space="0" w:color="auto"/>
        <w:left w:val="none" w:sz="0" w:space="0" w:color="auto"/>
        <w:bottom w:val="none" w:sz="0" w:space="0" w:color="auto"/>
        <w:right w:val="none" w:sz="0" w:space="0" w:color="auto"/>
      </w:divBdr>
    </w:div>
    <w:div w:id="975724005">
      <w:bodyDiv w:val="1"/>
      <w:marLeft w:val="0"/>
      <w:marRight w:val="0"/>
      <w:marTop w:val="0"/>
      <w:marBottom w:val="0"/>
      <w:divBdr>
        <w:top w:val="none" w:sz="0" w:space="0" w:color="auto"/>
        <w:left w:val="none" w:sz="0" w:space="0" w:color="auto"/>
        <w:bottom w:val="none" w:sz="0" w:space="0" w:color="auto"/>
        <w:right w:val="none" w:sz="0" w:space="0" w:color="auto"/>
      </w:divBdr>
      <w:divsChild>
        <w:div w:id="669720737">
          <w:marLeft w:val="274"/>
          <w:marRight w:val="0"/>
          <w:marTop w:val="0"/>
          <w:marBottom w:val="120"/>
          <w:divBdr>
            <w:top w:val="none" w:sz="0" w:space="0" w:color="auto"/>
            <w:left w:val="none" w:sz="0" w:space="0" w:color="auto"/>
            <w:bottom w:val="none" w:sz="0" w:space="0" w:color="auto"/>
            <w:right w:val="none" w:sz="0" w:space="0" w:color="auto"/>
          </w:divBdr>
        </w:div>
        <w:div w:id="567686556">
          <w:marLeft w:val="576"/>
          <w:marRight w:val="0"/>
          <w:marTop w:val="0"/>
          <w:marBottom w:val="60"/>
          <w:divBdr>
            <w:top w:val="none" w:sz="0" w:space="0" w:color="auto"/>
            <w:left w:val="none" w:sz="0" w:space="0" w:color="auto"/>
            <w:bottom w:val="none" w:sz="0" w:space="0" w:color="auto"/>
            <w:right w:val="none" w:sz="0" w:space="0" w:color="auto"/>
          </w:divBdr>
        </w:div>
        <w:div w:id="60636758">
          <w:marLeft w:val="576"/>
          <w:marRight w:val="0"/>
          <w:marTop w:val="0"/>
          <w:marBottom w:val="60"/>
          <w:divBdr>
            <w:top w:val="none" w:sz="0" w:space="0" w:color="auto"/>
            <w:left w:val="none" w:sz="0" w:space="0" w:color="auto"/>
            <w:bottom w:val="none" w:sz="0" w:space="0" w:color="auto"/>
            <w:right w:val="none" w:sz="0" w:space="0" w:color="auto"/>
          </w:divBdr>
        </w:div>
        <w:div w:id="252787994">
          <w:marLeft w:val="576"/>
          <w:marRight w:val="0"/>
          <w:marTop w:val="0"/>
          <w:marBottom w:val="60"/>
          <w:divBdr>
            <w:top w:val="none" w:sz="0" w:space="0" w:color="auto"/>
            <w:left w:val="none" w:sz="0" w:space="0" w:color="auto"/>
            <w:bottom w:val="none" w:sz="0" w:space="0" w:color="auto"/>
            <w:right w:val="none" w:sz="0" w:space="0" w:color="auto"/>
          </w:divBdr>
        </w:div>
        <w:div w:id="1330449954">
          <w:marLeft w:val="0"/>
          <w:marRight w:val="0"/>
          <w:marTop w:val="0"/>
          <w:marBottom w:val="60"/>
          <w:divBdr>
            <w:top w:val="none" w:sz="0" w:space="0" w:color="auto"/>
            <w:left w:val="none" w:sz="0" w:space="0" w:color="auto"/>
            <w:bottom w:val="none" w:sz="0" w:space="0" w:color="auto"/>
            <w:right w:val="none" w:sz="0" w:space="0" w:color="auto"/>
          </w:divBdr>
        </w:div>
      </w:divsChild>
    </w:div>
    <w:div w:id="992105868">
      <w:bodyDiv w:val="1"/>
      <w:marLeft w:val="0"/>
      <w:marRight w:val="0"/>
      <w:marTop w:val="0"/>
      <w:marBottom w:val="0"/>
      <w:divBdr>
        <w:top w:val="none" w:sz="0" w:space="0" w:color="auto"/>
        <w:left w:val="none" w:sz="0" w:space="0" w:color="auto"/>
        <w:bottom w:val="none" w:sz="0" w:space="0" w:color="auto"/>
        <w:right w:val="none" w:sz="0" w:space="0" w:color="auto"/>
      </w:divBdr>
    </w:div>
    <w:div w:id="1016925785">
      <w:bodyDiv w:val="1"/>
      <w:marLeft w:val="0"/>
      <w:marRight w:val="0"/>
      <w:marTop w:val="0"/>
      <w:marBottom w:val="0"/>
      <w:divBdr>
        <w:top w:val="none" w:sz="0" w:space="0" w:color="auto"/>
        <w:left w:val="none" w:sz="0" w:space="0" w:color="auto"/>
        <w:bottom w:val="none" w:sz="0" w:space="0" w:color="auto"/>
        <w:right w:val="none" w:sz="0" w:space="0" w:color="auto"/>
      </w:divBdr>
    </w:div>
    <w:div w:id="1644197823">
      <w:bodyDiv w:val="1"/>
      <w:marLeft w:val="0"/>
      <w:marRight w:val="0"/>
      <w:marTop w:val="0"/>
      <w:marBottom w:val="0"/>
      <w:divBdr>
        <w:top w:val="none" w:sz="0" w:space="0" w:color="auto"/>
        <w:left w:val="none" w:sz="0" w:space="0" w:color="auto"/>
        <w:bottom w:val="none" w:sz="0" w:space="0" w:color="auto"/>
        <w:right w:val="none" w:sz="0" w:space="0" w:color="auto"/>
      </w:divBdr>
      <w:divsChild>
        <w:div w:id="1661035252">
          <w:marLeft w:val="274"/>
          <w:marRight w:val="0"/>
          <w:marTop w:val="0"/>
          <w:marBottom w:val="120"/>
          <w:divBdr>
            <w:top w:val="none" w:sz="0" w:space="0" w:color="auto"/>
            <w:left w:val="none" w:sz="0" w:space="0" w:color="auto"/>
            <w:bottom w:val="none" w:sz="0" w:space="0" w:color="auto"/>
            <w:right w:val="none" w:sz="0" w:space="0" w:color="auto"/>
          </w:divBdr>
        </w:div>
        <w:div w:id="542716425">
          <w:marLeft w:val="576"/>
          <w:marRight w:val="0"/>
          <w:marTop w:val="0"/>
          <w:marBottom w:val="60"/>
          <w:divBdr>
            <w:top w:val="none" w:sz="0" w:space="0" w:color="auto"/>
            <w:left w:val="none" w:sz="0" w:space="0" w:color="auto"/>
            <w:bottom w:val="none" w:sz="0" w:space="0" w:color="auto"/>
            <w:right w:val="none" w:sz="0" w:space="0" w:color="auto"/>
          </w:divBdr>
        </w:div>
        <w:div w:id="1178885681">
          <w:marLeft w:val="576"/>
          <w:marRight w:val="0"/>
          <w:marTop w:val="0"/>
          <w:marBottom w:val="60"/>
          <w:divBdr>
            <w:top w:val="none" w:sz="0" w:space="0" w:color="auto"/>
            <w:left w:val="none" w:sz="0" w:space="0" w:color="auto"/>
            <w:bottom w:val="none" w:sz="0" w:space="0" w:color="auto"/>
            <w:right w:val="none" w:sz="0" w:space="0" w:color="auto"/>
          </w:divBdr>
        </w:div>
        <w:div w:id="322585474">
          <w:marLeft w:val="576"/>
          <w:marRight w:val="0"/>
          <w:marTop w:val="0"/>
          <w:marBottom w:val="60"/>
          <w:divBdr>
            <w:top w:val="none" w:sz="0" w:space="0" w:color="auto"/>
            <w:left w:val="none" w:sz="0" w:space="0" w:color="auto"/>
            <w:bottom w:val="none" w:sz="0" w:space="0" w:color="auto"/>
            <w:right w:val="none" w:sz="0" w:space="0" w:color="auto"/>
          </w:divBdr>
        </w:div>
        <w:div w:id="1256787197">
          <w:marLeft w:val="274"/>
          <w:marRight w:val="0"/>
          <w:marTop w:val="0"/>
          <w:marBottom w:val="120"/>
          <w:divBdr>
            <w:top w:val="none" w:sz="0" w:space="0" w:color="auto"/>
            <w:left w:val="none" w:sz="0" w:space="0" w:color="auto"/>
            <w:bottom w:val="none" w:sz="0" w:space="0" w:color="auto"/>
            <w:right w:val="none" w:sz="0" w:space="0" w:color="auto"/>
          </w:divBdr>
        </w:div>
      </w:divsChild>
    </w:div>
    <w:div w:id="1752697390">
      <w:bodyDiv w:val="1"/>
      <w:marLeft w:val="0"/>
      <w:marRight w:val="0"/>
      <w:marTop w:val="0"/>
      <w:marBottom w:val="0"/>
      <w:divBdr>
        <w:top w:val="none" w:sz="0" w:space="0" w:color="auto"/>
        <w:left w:val="none" w:sz="0" w:space="0" w:color="auto"/>
        <w:bottom w:val="none" w:sz="0" w:space="0" w:color="auto"/>
        <w:right w:val="none" w:sz="0" w:space="0" w:color="auto"/>
      </w:divBdr>
      <w:divsChild>
        <w:div w:id="387848819">
          <w:marLeft w:val="446"/>
          <w:marRight w:val="0"/>
          <w:marTop w:val="120"/>
          <w:marBottom w:val="0"/>
          <w:divBdr>
            <w:top w:val="none" w:sz="0" w:space="0" w:color="auto"/>
            <w:left w:val="none" w:sz="0" w:space="0" w:color="auto"/>
            <w:bottom w:val="none" w:sz="0" w:space="0" w:color="auto"/>
            <w:right w:val="none" w:sz="0" w:space="0" w:color="auto"/>
          </w:divBdr>
        </w:div>
        <w:div w:id="1888953236">
          <w:marLeft w:val="446"/>
          <w:marRight w:val="0"/>
          <w:marTop w:val="120"/>
          <w:marBottom w:val="0"/>
          <w:divBdr>
            <w:top w:val="none" w:sz="0" w:space="0" w:color="auto"/>
            <w:left w:val="none" w:sz="0" w:space="0" w:color="auto"/>
            <w:bottom w:val="none" w:sz="0" w:space="0" w:color="auto"/>
            <w:right w:val="none" w:sz="0" w:space="0" w:color="auto"/>
          </w:divBdr>
        </w:div>
        <w:div w:id="1729304292">
          <w:marLeft w:val="446"/>
          <w:marRight w:val="0"/>
          <w:marTop w:val="120"/>
          <w:marBottom w:val="0"/>
          <w:divBdr>
            <w:top w:val="none" w:sz="0" w:space="0" w:color="auto"/>
            <w:left w:val="none" w:sz="0" w:space="0" w:color="auto"/>
            <w:bottom w:val="none" w:sz="0" w:space="0" w:color="auto"/>
            <w:right w:val="none" w:sz="0" w:space="0" w:color="auto"/>
          </w:divBdr>
        </w:div>
        <w:div w:id="215700165">
          <w:marLeft w:val="446"/>
          <w:marRight w:val="0"/>
          <w:marTop w:val="120"/>
          <w:marBottom w:val="0"/>
          <w:divBdr>
            <w:top w:val="none" w:sz="0" w:space="0" w:color="auto"/>
            <w:left w:val="none" w:sz="0" w:space="0" w:color="auto"/>
            <w:bottom w:val="none" w:sz="0" w:space="0" w:color="auto"/>
            <w:right w:val="none" w:sz="0" w:space="0" w:color="auto"/>
          </w:divBdr>
        </w:div>
        <w:div w:id="272828457">
          <w:marLeft w:val="446"/>
          <w:marRight w:val="0"/>
          <w:marTop w:val="120"/>
          <w:marBottom w:val="0"/>
          <w:divBdr>
            <w:top w:val="none" w:sz="0" w:space="0" w:color="auto"/>
            <w:left w:val="none" w:sz="0" w:space="0" w:color="auto"/>
            <w:bottom w:val="none" w:sz="0" w:space="0" w:color="auto"/>
            <w:right w:val="none" w:sz="0" w:space="0" w:color="auto"/>
          </w:divBdr>
        </w:div>
        <w:div w:id="479427275">
          <w:marLeft w:val="446"/>
          <w:marRight w:val="0"/>
          <w:marTop w:val="120"/>
          <w:marBottom w:val="0"/>
          <w:divBdr>
            <w:top w:val="none" w:sz="0" w:space="0" w:color="auto"/>
            <w:left w:val="none" w:sz="0" w:space="0" w:color="auto"/>
            <w:bottom w:val="none" w:sz="0" w:space="0" w:color="auto"/>
            <w:right w:val="none" w:sz="0" w:space="0" w:color="auto"/>
          </w:divBdr>
        </w:div>
      </w:divsChild>
    </w:div>
    <w:div w:id="1829981325">
      <w:bodyDiv w:val="1"/>
      <w:marLeft w:val="0"/>
      <w:marRight w:val="0"/>
      <w:marTop w:val="0"/>
      <w:marBottom w:val="0"/>
      <w:divBdr>
        <w:top w:val="none" w:sz="0" w:space="0" w:color="auto"/>
        <w:left w:val="none" w:sz="0" w:space="0" w:color="auto"/>
        <w:bottom w:val="none" w:sz="0" w:space="0" w:color="auto"/>
        <w:right w:val="none" w:sz="0" w:space="0" w:color="auto"/>
      </w:divBdr>
    </w:div>
    <w:div w:id="188424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hyperlink" Target="https://www.england.nhs.uk/operational-planning-and-contracting/" TargetMode="External"/><Relationship Id="rId39" Type="http://schemas.openxmlformats.org/officeDocument/2006/relationships/hyperlink" Target="https://www.england.nhs.uk/publication/nhs-enforcement-guidance/" TargetMode="External"/><Relationship Id="rId21" Type="http://schemas.openxmlformats.org/officeDocument/2006/relationships/header" Target="header8.xml"/><Relationship Id="rId34" Type="http://schemas.openxmlformats.org/officeDocument/2006/relationships/hyperlink" Target="https://www.england.nhs.uk/long-read/risk-assessment-framework-and-reporting-manual-for-independent-sector-providers-of-nhs-services/"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diagramLayout" Target="diagrams/layout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gland.nhs.uk/wp-content/uploads/2022/10/B2068-NHS-England-Operating-Framework.pdf" TargetMode="External"/><Relationship Id="rId32" Type="http://schemas.microsoft.com/office/2007/relationships/diagramDrawing" Target="diagrams/drawing1.xml"/><Relationship Id="rId37" Type="http://schemas.openxmlformats.org/officeDocument/2006/relationships/image" Target="media/image6.jpeg"/><Relationship Id="rId40"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3.xml"/><Relationship Id="rId28" Type="http://schemas.openxmlformats.org/officeDocument/2006/relationships/diagramData" Target="diagrams/data1.xml"/><Relationship Id="rId36"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diagramColors" Target="diagrams/colors1.xm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yperlink" Target="https://www.england.nhs.uk/publication/nhs-long-term-workforce-plan/" TargetMode="External"/><Relationship Id="rId30" Type="http://schemas.openxmlformats.org/officeDocument/2006/relationships/diagramQuickStyle" Target="diagrams/quickStyle1.xml"/><Relationship Id="rId35" Type="http://schemas.openxmlformats.org/officeDocument/2006/relationships/image" Target="media/image4.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longtermplan.nhs.uk/" TargetMode="External"/><Relationship Id="rId33" Type="http://schemas.openxmlformats.org/officeDocument/2006/relationships/hyperlink" Target="https://digital.nhs.uk/services/organisation-data-service/export-data-files/csv-downloads/other-nhs-organisations" TargetMode="External"/><Relationship Id="rId38" Type="http://schemas.openxmlformats.org/officeDocument/2006/relationships/hyperlink" Target="https://www.england.nhs.uk/nhsimpa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FBED2D-3B10-4BDA-B050-2D8A06159FA1}" type="doc">
      <dgm:prSet loTypeId="urn:microsoft.com/office/officeart/2005/8/layout/cycle8" loCatId="cycle" qsTypeId="urn:microsoft.com/office/officeart/2005/8/quickstyle/simple1" qsCatId="simple" csTypeId="urn:microsoft.com/office/officeart/2005/8/colors/accent1_2" csCatId="accent1" phldr="1"/>
      <dgm:spPr/>
    </dgm:pt>
    <dgm:pt modelId="{91F8C504-B067-4054-AED3-8DA050C6EE8A}">
      <dgm:prSet phldrT="[Text]" custT="1"/>
      <dgm:spPr/>
      <dgm:t>
        <a:bodyPr/>
        <a:lstStyle/>
        <a:p>
          <a:pPr algn="ctr"/>
          <a:r>
            <a:rPr lang="en-GB" sz="1200">
              <a:solidFill>
                <a:schemeClr val="tx1"/>
              </a:solidFill>
            </a:rPr>
            <a:t>Identifying scale and nature of support or intervention needs</a:t>
          </a:r>
        </a:p>
      </dgm:t>
    </dgm:pt>
    <dgm:pt modelId="{15214809-8B92-4EB1-A764-40B8AFE1D10F}" type="parTrans" cxnId="{D5FF85BF-76BA-4F26-A48C-35A74AEDAF88}">
      <dgm:prSet/>
      <dgm:spPr/>
      <dgm:t>
        <a:bodyPr/>
        <a:lstStyle/>
        <a:p>
          <a:pPr algn="ctr"/>
          <a:endParaRPr lang="en-GB"/>
        </a:p>
      </dgm:t>
    </dgm:pt>
    <dgm:pt modelId="{528C0DB7-8868-47CA-86B4-2E5C84C6FE6A}" type="sibTrans" cxnId="{D5FF85BF-76BA-4F26-A48C-35A74AEDAF88}">
      <dgm:prSet/>
      <dgm:spPr/>
      <dgm:t>
        <a:bodyPr/>
        <a:lstStyle/>
        <a:p>
          <a:pPr algn="ctr"/>
          <a:endParaRPr lang="en-GB"/>
        </a:p>
      </dgm:t>
    </dgm:pt>
    <dgm:pt modelId="{D40143AC-9D6B-4D1E-9159-27AD2CD2EC72}">
      <dgm:prSet phldrT="[Text]" custT="1"/>
      <dgm:spPr/>
      <dgm:t>
        <a:bodyPr/>
        <a:lstStyle/>
        <a:p>
          <a:pPr algn="ctr"/>
          <a:r>
            <a:rPr lang="en-GB" sz="1200">
              <a:solidFill>
                <a:schemeClr val="tx1"/>
              </a:solidFill>
            </a:rPr>
            <a:t>Implementing support or intervention activity</a:t>
          </a:r>
        </a:p>
      </dgm:t>
    </dgm:pt>
    <dgm:pt modelId="{AEF4C9B4-6808-47C6-9AFB-FED1546B7C24}" type="parTrans" cxnId="{D61E1F5A-19D7-461F-8B81-EB0B6794F942}">
      <dgm:prSet/>
      <dgm:spPr/>
      <dgm:t>
        <a:bodyPr/>
        <a:lstStyle/>
        <a:p>
          <a:pPr algn="ctr"/>
          <a:endParaRPr lang="en-GB"/>
        </a:p>
      </dgm:t>
    </dgm:pt>
    <dgm:pt modelId="{12168CCF-F73E-426E-B174-F928B25E4791}" type="sibTrans" cxnId="{D61E1F5A-19D7-461F-8B81-EB0B6794F942}">
      <dgm:prSet/>
      <dgm:spPr/>
      <dgm:t>
        <a:bodyPr/>
        <a:lstStyle/>
        <a:p>
          <a:pPr algn="ctr"/>
          <a:endParaRPr lang="en-GB"/>
        </a:p>
      </dgm:t>
    </dgm:pt>
    <dgm:pt modelId="{991312D7-B7AC-4EA8-9244-E2FFB36E3BC0}">
      <dgm:prSet phldrT="[Text]" custT="1"/>
      <dgm:spPr/>
      <dgm:t>
        <a:bodyPr/>
        <a:lstStyle/>
        <a:p>
          <a:pPr algn="ctr"/>
          <a:r>
            <a:rPr lang="en-GB" sz="1200">
              <a:solidFill>
                <a:schemeClr val="tx1"/>
              </a:solidFill>
            </a:rPr>
            <a:t>Monitoring ICBs and providers</a:t>
          </a:r>
        </a:p>
      </dgm:t>
    </dgm:pt>
    <dgm:pt modelId="{7674C353-2293-46AB-8254-0FBDDDE93187}" type="sibTrans" cxnId="{BCF766F5-2467-4B92-93DC-D362B701D797}">
      <dgm:prSet/>
      <dgm:spPr/>
      <dgm:t>
        <a:bodyPr/>
        <a:lstStyle/>
        <a:p>
          <a:pPr algn="ctr"/>
          <a:endParaRPr lang="en-GB"/>
        </a:p>
      </dgm:t>
    </dgm:pt>
    <dgm:pt modelId="{F1E86CA4-91C1-415D-A814-3AFDF46DD430}" type="parTrans" cxnId="{BCF766F5-2467-4B92-93DC-D362B701D797}">
      <dgm:prSet/>
      <dgm:spPr/>
      <dgm:t>
        <a:bodyPr/>
        <a:lstStyle/>
        <a:p>
          <a:pPr algn="ctr"/>
          <a:endParaRPr lang="en-GB"/>
        </a:p>
      </dgm:t>
    </dgm:pt>
    <dgm:pt modelId="{46B48D41-E1A2-415D-9198-DDD1787E19EC}" type="pres">
      <dgm:prSet presAssocID="{A9FBED2D-3B10-4BDA-B050-2D8A06159FA1}" presName="compositeShape" presStyleCnt="0">
        <dgm:presLayoutVars>
          <dgm:chMax val="7"/>
          <dgm:dir/>
          <dgm:resizeHandles val="exact"/>
        </dgm:presLayoutVars>
      </dgm:prSet>
      <dgm:spPr/>
    </dgm:pt>
    <dgm:pt modelId="{F7AA9504-A8D5-46EC-AD2A-0BE7FB5D2F6E}" type="pres">
      <dgm:prSet presAssocID="{A9FBED2D-3B10-4BDA-B050-2D8A06159FA1}" presName="wedge1" presStyleLbl="node1" presStyleIdx="0" presStyleCnt="3" custScaleX="105394"/>
      <dgm:spPr/>
    </dgm:pt>
    <dgm:pt modelId="{3ADFDD60-AEE8-4DC1-9EA2-E33E919ED5AE}" type="pres">
      <dgm:prSet presAssocID="{A9FBED2D-3B10-4BDA-B050-2D8A06159FA1}" presName="dummy1a" presStyleCnt="0"/>
      <dgm:spPr/>
    </dgm:pt>
    <dgm:pt modelId="{1F0F5B10-FBD2-4A52-B60D-07EF74207A2F}" type="pres">
      <dgm:prSet presAssocID="{A9FBED2D-3B10-4BDA-B050-2D8A06159FA1}" presName="dummy1b" presStyleCnt="0"/>
      <dgm:spPr/>
    </dgm:pt>
    <dgm:pt modelId="{F735B2D8-994C-4797-B613-A411997312D9}" type="pres">
      <dgm:prSet presAssocID="{A9FBED2D-3B10-4BDA-B050-2D8A06159FA1}" presName="wedge1Tx" presStyleLbl="node1" presStyleIdx="0" presStyleCnt="3">
        <dgm:presLayoutVars>
          <dgm:chMax val="0"/>
          <dgm:chPref val="0"/>
          <dgm:bulletEnabled val="1"/>
        </dgm:presLayoutVars>
      </dgm:prSet>
      <dgm:spPr/>
    </dgm:pt>
    <dgm:pt modelId="{5EC8EC39-7F83-480F-A7B6-E2F4218A9B00}" type="pres">
      <dgm:prSet presAssocID="{A9FBED2D-3B10-4BDA-B050-2D8A06159FA1}" presName="wedge2" presStyleLbl="node1" presStyleIdx="1" presStyleCnt="3"/>
      <dgm:spPr/>
    </dgm:pt>
    <dgm:pt modelId="{45D82EC4-752C-4507-8519-688329143329}" type="pres">
      <dgm:prSet presAssocID="{A9FBED2D-3B10-4BDA-B050-2D8A06159FA1}" presName="dummy2a" presStyleCnt="0"/>
      <dgm:spPr/>
    </dgm:pt>
    <dgm:pt modelId="{C576F3C7-8BFA-4DF4-8B74-065C65569961}" type="pres">
      <dgm:prSet presAssocID="{A9FBED2D-3B10-4BDA-B050-2D8A06159FA1}" presName="dummy2b" presStyleCnt="0"/>
      <dgm:spPr/>
    </dgm:pt>
    <dgm:pt modelId="{86F8F72B-3684-4BFD-AB9F-201649C0F505}" type="pres">
      <dgm:prSet presAssocID="{A9FBED2D-3B10-4BDA-B050-2D8A06159FA1}" presName="wedge2Tx" presStyleLbl="node1" presStyleIdx="1" presStyleCnt="3">
        <dgm:presLayoutVars>
          <dgm:chMax val="0"/>
          <dgm:chPref val="0"/>
          <dgm:bulletEnabled val="1"/>
        </dgm:presLayoutVars>
      </dgm:prSet>
      <dgm:spPr/>
    </dgm:pt>
    <dgm:pt modelId="{863FEEAD-FE9E-4FCE-9CDD-D858B4BB13C9}" type="pres">
      <dgm:prSet presAssocID="{A9FBED2D-3B10-4BDA-B050-2D8A06159FA1}" presName="wedge3" presStyleLbl="node1" presStyleIdx="2" presStyleCnt="3"/>
      <dgm:spPr/>
    </dgm:pt>
    <dgm:pt modelId="{08B90852-D072-4AA2-A4A9-F379E534F331}" type="pres">
      <dgm:prSet presAssocID="{A9FBED2D-3B10-4BDA-B050-2D8A06159FA1}" presName="dummy3a" presStyleCnt="0"/>
      <dgm:spPr/>
    </dgm:pt>
    <dgm:pt modelId="{3A5F7392-5B8D-4462-B882-2CB8F21BD5C9}" type="pres">
      <dgm:prSet presAssocID="{A9FBED2D-3B10-4BDA-B050-2D8A06159FA1}" presName="dummy3b" presStyleCnt="0"/>
      <dgm:spPr/>
    </dgm:pt>
    <dgm:pt modelId="{0FAACC3A-7834-4AB9-A33D-98B3E880FE39}" type="pres">
      <dgm:prSet presAssocID="{A9FBED2D-3B10-4BDA-B050-2D8A06159FA1}" presName="wedge3Tx" presStyleLbl="node1" presStyleIdx="2" presStyleCnt="3">
        <dgm:presLayoutVars>
          <dgm:chMax val="0"/>
          <dgm:chPref val="0"/>
          <dgm:bulletEnabled val="1"/>
        </dgm:presLayoutVars>
      </dgm:prSet>
      <dgm:spPr/>
    </dgm:pt>
    <dgm:pt modelId="{806C006F-1914-4C39-A13E-595E8977BD34}" type="pres">
      <dgm:prSet presAssocID="{528C0DB7-8868-47CA-86B4-2E5C84C6FE6A}" presName="arrowWedge1" presStyleLbl="fgSibTrans2D1" presStyleIdx="0" presStyleCnt="3" custLinFactNeighborX="1238" custLinFactNeighborY="-1377"/>
      <dgm:spPr/>
    </dgm:pt>
    <dgm:pt modelId="{F3251E76-F03C-4D82-B18D-F5A25E4732C2}" type="pres">
      <dgm:prSet presAssocID="{12168CCF-F73E-426E-B174-F928B25E4791}" presName="arrowWedge2" presStyleLbl="fgSibTrans2D1" presStyleIdx="1" presStyleCnt="3"/>
      <dgm:spPr/>
    </dgm:pt>
    <dgm:pt modelId="{A8605715-7CC2-4F94-A0D5-148B0A1D81E7}" type="pres">
      <dgm:prSet presAssocID="{7674C353-2293-46AB-8254-0FBDDDE93187}" presName="arrowWedge3" presStyleLbl="fgSibTrans2D1" presStyleIdx="2" presStyleCnt="3"/>
      <dgm:spPr/>
    </dgm:pt>
  </dgm:ptLst>
  <dgm:cxnLst>
    <dgm:cxn modelId="{E585441D-603A-43BC-89F1-F74217288E90}" type="presOf" srcId="{991312D7-B7AC-4EA8-9244-E2FFB36E3BC0}" destId="{0FAACC3A-7834-4AB9-A33D-98B3E880FE39}" srcOrd="1" destOrd="0" presId="urn:microsoft.com/office/officeart/2005/8/layout/cycle8"/>
    <dgm:cxn modelId="{6BBAA153-A237-400C-AF76-E6925BE28C91}" type="presOf" srcId="{D40143AC-9D6B-4D1E-9159-27AD2CD2EC72}" destId="{86F8F72B-3684-4BFD-AB9F-201649C0F505}" srcOrd="1" destOrd="0" presId="urn:microsoft.com/office/officeart/2005/8/layout/cycle8"/>
    <dgm:cxn modelId="{FC78107A-3ED8-4965-8734-32DC5FE53435}" type="presOf" srcId="{A9FBED2D-3B10-4BDA-B050-2D8A06159FA1}" destId="{46B48D41-E1A2-415D-9198-DDD1787E19EC}" srcOrd="0" destOrd="0" presId="urn:microsoft.com/office/officeart/2005/8/layout/cycle8"/>
    <dgm:cxn modelId="{D61E1F5A-19D7-461F-8B81-EB0B6794F942}" srcId="{A9FBED2D-3B10-4BDA-B050-2D8A06159FA1}" destId="{D40143AC-9D6B-4D1E-9159-27AD2CD2EC72}" srcOrd="1" destOrd="0" parTransId="{AEF4C9B4-6808-47C6-9AFB-FED1546B7C24}" sibTransId="{12168CCF-F73E-426E-B174-F928B25E4791}"/>
    <dgm:cxn modelId="{86A945AC-4627-47DA-8FB1-CB4F84C833E7}" type="presOf" srcId="{991312D7-B7AC-4EA8-9244-E2FFB36E3BC0}" destId="{863FEEAD-FE9E-4FCE-9CDD-D858B4BB13C9}" srcOrd="0" destOrd="0" presId="urn:microsoft.com/office/officeart/2005/8/layout/cycle8"/>
    <dgm:cxn modelId="{A57F17B8-9757-4075-AD01-13E4F54A84B3}" type="presOf" srcId="{91F8C504-B067-4054-AED3-8DA050C6EE8A}" destId="{F735B2D8-994C-4797-B613-A411997312D9}" srcOrd="1" destOrd="0" presId="urn:microsoft.com/office/officeart/2005/8/layout/cycle8"/>
    <dgm:cxn modelId="{8F4284BA-AF4B-46C1-A984-69A66E1738C4}" type="presOf" srcId="{91F8C504-B067-4054-AED3-8DA050C6EE8A}" destId="{F7AA9504-A8D5-46EC-AD2A-0BE7FB5D2F6E}" srcOrd="0" destOrd="0" presId="urn:microsoft.com/office/officeart/2005/8/layout/cycle8"/>
    <dgm:cxn modelId="{D5FF85BF-76BA-4F26-A48C-35A74AEDAF88}" srcId="{A9FBED2D-3B10-4BDA-B050-2D8A06159FA1}" destId="{91F8C504-B067-4054-AED3-8DA050C6EE8A}" srcOrd="0" destOrd="0" parTransId="{15214809-8B92-4EB1-A764-40B8AFE1D10F}" sibTransId="{528C0DB7-8868-47CA-86B4-2E5C84C6FE6A}"/>
    <dgm:cxn modelId="{BCF766F5-2467-4B92-93DC-D362B701D797}" srcId="{A9FBED2D-3B10-4BDA-B050-2D8A06159FA1}" destId="{991312D7-B7AC-4EA8-9244-E2FFB36E3BC0}" srcOrd="2" destOrd="0" parTransId="{F1E86CA4-91C1-415D-A814-3AFDF46DD430}" sibTransId="{7674C353-2293-46AB-8254-0FBDDDE93187}"/>
    <dgm:cxn modelId="{F67729FF-28FF-49E1-87B3-32C9E37E96D3}" type="presOf" srcId="{D40143AC-9D6B-4D1E-9159-27AD2CD2EC72}" destId="{5EC8EC39-7F83-480F-A7B6-E2F4218A9B00}" srcOrd="0" destOrd="0" presId="urn:microsoft.com/office/officeart/2005/8/layout/cycle8"/>
    <dgm:cxn modelId="{9420B621-8BB9-49E6-840A-D8B9FB6D8589}" type="presParOf" srcId="{46B48D41-E1A2-415D-9198-DDD1787E19EC}" destId="{F7AA9504-A8D5-46EC-AD2A-0BE7FB5D2F6E}" srcOrd="0" destOrd="0" presId="urn:microsoft.com/office/officeart/2005/8/layout/cycle8"/>
    <dgm:cxn modelId="{B5D7F26A-E04F-4FA0-A920-528759A1911F}" type="presParOf" srcId="{46B48D41-E1A2-415D-9198-DDD1787E19EC}" destId="{3ADFDD60-AEE8-4DC1-9EA2-E33E919ED5AE}" srcOrd="1" destOrd="0" presId="urn:microsoft.com/office/officeart/2005/8/layout/cycle8"/>
    <dgm:cxn modelId="{FA64595C-2333-494C-9343-DA302A1BA582}" type="presParOf" srcId="{46B48D41-E1A2-415D-9198-DDD1787E19EC}" destId="{1F0F5B10-FBD2-4A52-B60D-07EF74207A2F}" srcOrd="2" destOrd="0" presId="urn:microsoft.com/office/officeart/2005/8/layout/cycle8"/>
    <dgm:cxn modelId="{C719652B-77E0-4A34-BA1D-FF420FB66721}" type="presParOf" srcId="{46B48D41-E1A2-415D-9198-DDD1787E19EC}" destId="{F735B2D8-994C-4797-B613-A411997312D9}" srcOrd="3" destOrd="0" presId="urn:microsoft.com/office/officeart/2005/8/layout/cycle8"/>
    <dgm:cxn modelId="{E59EF9D4-8621-4BF7-BE74-A5A4DBE8E492}" type="presParOf" srcId="{46B48D41-E1A2-415D-9198-DDD1787E19EC}" destId="{5EC8EC39-7F83-480F-A7B6-E2F4218A9B00}" srcOrd="4" destOrd="0" presId="urn:microsoft.com/office/officeart/2005/8/layout/cycle8"/>
    <dgm:cxn modelId="{5A86BA2D-627B-4ED0-ABBC-7853E62BFEB5}" type="presParOf" srcId="{46B48D41-E1A2-415D-9198-DDD1787E19EC}" destId="{45D82EC4-752C-4507-8519-688329143329}" srcOrd="5" destOrd="0" presId="urn:microsoft.com/office/officeart/2005/8/layout/cycle8"/>
    <dgm:cxn modelId="{B44C89DF-6A9B-4709-B216-68861B96989D}" type="presParOf" srcId="{46B48D41-E1A2-415D-9198-DDD1787E19EC}" destId="{C576F3C7-8BFA-4DF4-8B74-065C65569961}" srcOrd="6" destOrd="0" presId="urn:microsoft.com/office/officeart/2005/8/layout/cycle8"/>
    <dgm:cxn modelId="{88056341-B952-4F80-87F0-5CF1BE9FA30E}" type="presParOf" srcId="{46B48D41-E1A2-415D-9198-DDD1787E19EC}" destId="{86F8F72B-3684-4BFD-AB9F-201649C0F505}" srcOrd="7" destOrd="0" presId="urn:microsoft.com/office/officeart/2005/8/layout/cycle8"/>
    <dgm:cxn modelId="{E84D19D5-1FB9-43A7-8259-886DBA57E28F}" type="presParOf" srcId="{46B48D41-E1A2-415D-9198-DDD1787E19EC}" destId="{863FEEAD-FE9E-4FCE-9CDD-D858B4BB13C9}" srcOrd="8" destOrd="0" presId="urn:microsoft.com/office/officeart/2005/8/layout/cycle8"/>
    <dgm:cxn modelId="{E8652715-A064-4158-9E02-189388473431}" type="presParOf" srcId="{46B48D41-E1A2-415D-9198-DDD1787E19EC}" destId="{08B90852-D072-4AA2-A4A9-F379E534F331}" srcOrd="9" destOrd="0" presId="urn:microsoft.com/office/officeart/2005/8/layout/cycle8"/>
    <dgm:cxn modelId="{5E4FF5C4-DD0F-4864-A00D-4DA13EB892FE}" type="presParOf" srcId="{46B48D41-E1A2-415D-9198-DDD1787E19EC}" destId="{3A5F7392-5B8D-4462-B882-2CB8F21BD5C9}" srcOrd="10" destOrd="0" presId="urn:microsoft.com/office/officeart/2005/8/layout/cycle8"/>
    <dgm:cxn modelId="{1CAD48E1-0A0E-4F73-B88F-930732D57A0F}" type="presParOf" srcId="{46B48D41-E1A2-415D-9198-DDD1787E19EC}" destId="{0FAACC3A-7834-4AB9-A33D-98B3E880FE39}" srcOrd="11" destOrd="0" presId="urn:microsoft.com/office/officeart/2005/8/layout/cycle8"/>
    <dgm:cxn modelId="{50819806-7436-4AFC-BB61-1EEB26DE0E3A}" type="presParOf" srcId="{46B48D41-E1A2-415D-9198-DDD1787E19EC}" destId="{806C006F-1914-4C39-A13E-595E8977BD34}" srcOrd="12" destOrd="0" presId="urn:microsoft.com/office/officeart/2005/8/layout/cycle8"/>
    <dgm:cxn modelId="{36E0DC93-D803-4E74-8077-DE2C5E11DDB2}" type="presParOf" srcId="{46B48D41-E1A2-415D-9198-DDD1787E19EC}" destId="{F3251E76-F03C-4D82-B18D-F5A25E4732C2}" srcOrd="13" destOrd="0" presId="urn:microsoft.com/office/officeart/2005/8/layout/cycle8"/>
    <dgm:cxn modelId="{73FCFB03-E9A7-4980-999C-48BAF32CD7D7}" type="presParOf" srcId="{46B48D41-E1A2-415D-9198-DDD1787E19EC}" destId="{A8605715-7CC2-4F94-A0D5-148B0A1D81E7}" srcOrd="14" destOrd="0" presId="urn:microsoft.com/office/officeart/2005/8/layout/cycle8"/>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AA9504-A8D5-46EC-AD2A-0BE7FB5D2F6E}">
      <dsp:nvSpPr>
        <dsp:cNvPr id="0" name=""/>
        <dsp:cNvSpPr/>
      </dsp:nvSpPr>
      <dsp:spPr>
        <a:xfrm>
          <a:off x="1352560" y="176925"/>
          <a:ext cx="2409755" cy="2286425"/>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rPr>
            <a:t>Identifying scale and nature of support or intervention needs</a:t>
          </a:r>
        </a:p>
      </dsp:txBody>
      <dsp:txXfrm>
        <a:off x="2622559" y="661430"/>
        <a:ext cx="860626" cy="680483"/>
      </dsp:txXfrm>
    </dsp:sp>
    <dsp:sp modelId="{5EC8EC39-7F83-480F-A7B6-E2F4218A9B00}">
      <dsp:nvSpPr>
        <dsp:cNvPr id="0" name=""/>
        <dsp:cNvSpPr/>
      </dsp:nvSpPr>
      <dsp:spPr>
        <a:xfrm>
          <a:off x="1367136" y="258583"/>
          <a:ext cx="2286425" cy="2286425"/>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rPr>
            <a:t>Implementing support or intervention activity</a:t>
          </a:r>
        </a:p>
      </dsp:txBody>
      <dsp:txXfrm>
        <a:off x="1911523" y="1742038"/>
        <a:ext cx="1224870" cy="598825"/>
      </dsp:txXfrm>
    </dsp:sp>
    <dsp:sp modelId="{863FEEAD-FE9E-4FCE-9CDD-D858B4BB13C9}">
      <dsp:nvSpPr>
        <dsp:cNvPr id="0" name=""/>
        <dsp:cNvSpPr/>
      </dsp:nvSpPr>
      <dsp:spPr>
        <a:xfrm>
          <a:off x="1320046" y="176925"/>
          <a:ext cx="2286425" cy="2286425"/>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rPr>
            <a:t>Monitoring ICBs and providers</a:t>
          </a:r>
        </a:p>
      </dsp:txBody>
      <dsp:txXfrm>
        <a:off x="1584891" y="661430"/>
        <a:ext cx="816580" cy="680483"/>
      </dsp:txXfrm>
    </dsp:sp>
    <dsp:sp modelId="{806C006F-1914-4C39-A13E-595E8977BD34}">
      <dsp:nvSpPr>
        <dsp:cNvPr id="0" name=""/>
        <dsp:cNvSpPr/>
      </dsp:nvSpPr>
      <dsp:spPr>
        <a:xfrm>
          <a:off x="1303661" y="3"/>
          <a:ext cx="2569506" cy="2569506"/>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251E76-F03C-4D82-B18D-F5A25E4732C2}">
      <dsp:nvSpPr>
        <dsp:cNvPr id="0" name=""/>
        <dsp:cNvSpPr/>
      </dsp:nvSpPr>
      <dsp:spPr>
        <a:xfrm>
          <a:off x="1225595" y="116898"/>
          <a:ext cx="2569506" cy="2569506"/>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605715-7CC2-4F94-A0D5-148B0A1D81E7}">
      <dsp:nvSpPr>
        <dsp:cNvPr id="0" name=""/>
        <dsp:cNvSpPr/>
      </dsp:nvSpPr>
      <dsp:spPr>
        <a:xfrm>
          <a:off x="1178317" y="35385"/>
          <a:ext cx="2569506" cy="2569506"/>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0D1ACBCC-56FD-4F0D-9031-39F14C1797EA}">
    <t:Anchor>
      <t:Comment id="908988361"/>
    </t:Anchor>
    <t:History>
      <t:Event id="{270B5286-FF0C-4BA2-8FD1-90528828966F}" time="2024-03-27T21:31:40.879Z">
        <t:Attribution userId="S::miranda.carter2@england.nhs.uk::f58e1b34-df74-41b5-92c4-f9d9764a6255" userProvider="AD" userName="Miranda Carter"/>
        <t:Anchor>
          <t:Comment id="908988361"/>
        </t:Anchor>
        <t:Create/>
      </t:Event>
      <t:Event id="{345ED5BE-25A1-4B67-97BB-E570A4483606}" time="2024-03-27T21:31:40.879Z">
        <t:Attribution userId="S::miranda.carter2@england.nhs.uk::f58e1b34-df74-41b5-92c4-f9d9764a6255" userProvider="AD" userName="Miranda Carter"/>
        <t:Anchor>
          <t:Comment id="908988361"/>
        </t:Anchor>
        <t:Assign userId="S::fatima.khawaja@england.nhs.uk::bc5de5f5-f0ab-4f43-86d7-11fd7ac26a2e" userProvider="AD" userName="Fatima Khawaja"/>
      </t:Event>
      <t:Event id="{85388770-7A07-4525-B75B-95EC6E5453C9}" time="2024-03-27T21:31:40.879Z">
        <t:Attribution userId="S::miranda.carter2@england.nhs.uk::f58e1b34-df74-41b5-92c4-f9d9764a6255" userProvider="AD" userName="Miranda Carter"/>
        <t:Anchor>
          <t:Comment id="908988361"/>
        </t:Anchor>
        <t:SetTitle title="@Fatima Khawaja don’t think this is the right diagram need to simplify I can explain tomorrow I think a call out box that says metrics developed by organisaton ICB, Acute, MH etc "/>
      </t:Event>
      <t:Event id="{EA6620E9-60F9-4948-8B03-99B9CECE0D3A}" time="2024-03-28T10:55:58.938Z">
        <t:Attribution userId="S::fatima.khawaja@england.nhs.uk::bc5de5f5-f0ab-4f43-86d7-11fd7ac26a2e" userProvider="AD" userName="Fatima Khawaj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FB09A5FFB4BB47954469CFBB4655C6"/>
        <w:category>
          <w:name w:val="General"/>
          <w:gallery w:val="placeholder"/>
        </w:category>
        <w:types>
          <w:type w:val="bbPlcHdr"/>
        </w:types>
        <w:behaviors>
          <w:behavior w:val="content"/>
        </w:behaviors>
        <w:guid w:val="{5C0D59FD-BE1C-E94E-BC40-A7C1954A9E75}"/>
      </w:docPartPr>
      <w:docPartBody>
        <w:p w:rsidR="00122CE1" w:rsidRDefault="00122CE1">
          <w:pPr>
            <w:pStyle w:val="F2FB09A5FFB4BB47954469CFBB4655C6"/>
          </w:pPr>
          <w:r w:rsidRPr="00DD77F0">
            <w:t>Title of document</w:t>
          </w:r>
        </w:p>
      </w:docPartBody>
    </w:docPart>
    <w:docPart>
      <w:docPartPr>
        <w:name w:val="C24EBE00981B8F4AB7E7825B7A7B4792"/>
        <w:category>
          <w:name w:val="General"/>
          <w:gallery w:val="placeholder"/>
        </w:category>
        <w:types>
          <w:type w:val="bbPlcHdr"/>
        </w:types>
        <w:behaviors>
          <w:behavior w:val="content"/>
        </w:behaviors>
        <w:guid w:val="{C9E3A4DA-FA4D-1B41-A31E-CCE1022CE17B}"/>
      </w:docPartPr>
      <w:docPartBody>
        <w:p w:rsidR="00122CE1" w:rsidRDefault="00122CE1">
          <w:pPr>
            <w:pStyle w:val="C24EBE00981B8F4AB7E7825B7A7B4792"/>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Heiti Std R">
    <w:panose1 w:val="020B0400000000000000"/>
    <w:charset w:val="80"/>
    <w:family w:val="swiss"/>
    <w:notTrueType/>
    <w:pitch w:val="variable"/>
    <w:sig w:usb0="00000207" w:usb1="0A0F1810" w:usb2="00000016" w:usb3="00000000" w:csb0="00060007" w:csb1="00000000"/>
  </w:font>
  <w:font w:name="+mn-ea">
    <w:panose1 w:val="00000000000000000000"/>
    <w:charset w:val="00"/>
    <w:family w:val="roman"/>
    <w:notTrueType/>
    <w:pitch w:val="default"/>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F2"/>
    <w:rsid w:val="000203CC"/>
    <w:rsid w:val="00046EC3"/>
    <w:rsid w:val="000F7AF2"/>
    <w:rsid w:val="00122CE1"/>
    <w:rsid w:val="001D575A"/>
    <w:rsid w:val="002B068F"/>
    <w:rsid w:val="003C5D34"/>
    <w:rsid w:val="00403263"/>
    <w:rsid w:val="00463EFE"/>
    <w:rsid w:val="00474857"/>
    <w:rsid w:val="005D3C26"/>
    <w:rsid w:val="005D51BB"/>
    <w:rsid w:val="005F1A48"/>
    <w:rsid w:val="006371FE"/>
    <w:rsid w:val="00645047"/>
    <w:rsid w:val="00677B52"/>
    <w:rsid w:val="006B7BEE"/>
    <w:rsid w:val="006D5448"/>
    <w:rsid w:val="00892168"/>
    <w:rsid w:val="008D09D9"/>
    <w:rsid w:val="009103B1"/>
    <w:rsid w:val="009C0A45"/>
    <w:rsid w:val="009D2F1F"/>
    <w:rsid w:val="00B1632F"/>
    <w:rsid w:val="00B217DA"/>
    <w:rsid w:val="00C005D9"/>
    <w:rsid w:val="00D42672"/>
    <w:rsid w:val="00DE07AF"/>
    <w:rsid w:val="00E6602C"/>
    <w:rsid w:val="00E94BBE"/>
    <w:rsid w:val="00EF61D1"/>
    <w:rsid w:val="00F56D6D"/>
    <w:rsid w:val="00FB1772"/>
    <w:rsid w:val="00FC49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FB09A5FFB4BB47954469CFBB4655C6">
    <w:name w:val="F2FB09A5FFB4BB47954469CFBB4655C6"/>
  </w:style>
  <w:style w:type="paragraph" w:customStyle="1" w:styleId="C24EBE00981B8F4AB7E7825B7A7B4792">
    <w:name w:val="C24EBE00981B8F4AB7E7825B7A7B4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B393E2EEADC46A30E5A3C47011FAF" ma:contentTypeVersion="30" ma:contentTypeDescription="Create a new document." ma:contentTypeScope="" ma:versionID="54bef9b158b9f874b7d430512eb63b7c">
  <xsd:schema xmlns:xsd="http://www.w3.org/2001/XMLSchema" xmlns:xs="http://www.w3.org/2001/XMLSchema" xmlns:p="http://schemas.microsoft.com/office/2006/metadata/properties" xmlns:ns1="http://schemas.microsoft.com/sharepoint/v3" xmlns:ns2="3b8da7b6-5ea0-4961-b9ec-b05e02745c27" xmlns:ns3="152eadec-a051-45b9-ae5d-2409a64bba8e" targetNamespace="http://schemas.microsoft.com/office/2006/metadata/properties" ma:root="true" ma:fieldsID="e2c1a2259ea7b0d4ff2c7ca219a2e46d" ns1:_="" ns2:_="" ns3:_="">
    <xsd:import namespace="http://schemas.microsoft.com/sharepoint/v3"/>
    <xsd:import namespace="3b8da7b6-5ea0-4961-b9ec-b05e02745c27"/>
    <xsd:import namespace="152eadec-a051-45b9-ae5d-2409a64bba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da7b6-5ea0-4961-b9ec-b05e02745c27"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description=""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eadec-a051-45b9-ae5d-2409a64bba8e"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6c027d1-2640-4d5f-8d0d-dba794cbf719}" ma:internalName="TaxCatchAll" ma:showField="CatchAllData" ma:web="152eadec-a051-45b9-ae5d-2409a64bba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2eadec-a051-45b9-ae5d-2409a64bba8e" xsi:nil="true"/>
    <lcf76f155ced4ddcb4097134ff3c332f xmlns="3b8da7b6-5ea0-4961-b9ec-b05e02745c2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CE0B263-3144-4DD1-AC01-8736A74F1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8da7b6-5ea0-4961-b9ec-b05e02745c27"/>
    <ds:schemaRef ds:uri="152eadec-a051-45b9-ae5d-2409a64bb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152eadec-a051-45b9-ae5d-2409a64bba8e"/>
    <ds:schemaRef ds:uri="3b8da7b6-5ea0-4961-b9ec-b05e02745c27"/>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46</Pages>
  <Words>12022</Words>
  <Characters>69061</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DRAFT NHS Oversight and Assessment Framework (accessible version)</vt:lpstr>
    </vt:vector>
  </TitlesOfParts>
  <Company>Health &amp; Social Care Information Centre</Company>
  <LinksUpToDate>false</LinksUpToDate>
  <CharactersWithSpaces>80922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NHS Oversight and Assessment Framework (accessible version)</dc:title>
  <dc:subject/>
  <dc:creator>Bobby Wilcox</dc:creator>
  <cp:keywords/>
  <cp:lastModifiedBy>Joanne Boshell</cp:lastModifiedBy>
  <cp:revision>3</cp:revision>
  <cp:lastPrinted>2016-07-15T01:27:00Z</cp:lastPrinted>
  <dcterms:created xsi:type="dcterms:W3CDTF">2024-06-11T08:28:00Z</dcterms:created>
  <dcterms:modified xsi:type="dcterms:W3CDTF">2024-06-11T08:58:00Z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0x010100D12B393E2EEADC46A30E5A3C47011FAF</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GrammarlyDocumentId">
    <vt:lpwstr>8c11dd288b040566af4770e2e6dcf6bad734424fff925fb23b419daa045ce27b</vt:lpwstr>
  </property>
</Properties>
</file>