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36304631"/>
        <w:docPartObj>
          <w:docPartGallery w:val="Cover Pages"/>
          <w:docPartUnique/>
        </w:docPartObj>
      </w:sdtPr>
      <w:sdtEndPr/>
      <w:sdtContent>
        <w:p w14:paraId="3092DC66" w14:textId="77777777" w:rsidR="005E5831" w:rsidRDefault="005E5831" w:rsidP="00493F8D">
          <w:pPr>
            <w:spacing w:after="0" w:line="276" w:lineRule="auto"/>
          </w:pPr>
          <w:r>
            <w:rPr>
              <w:noProof/>
              <w:lang w:eastAsia="en-GB"/>
            </w:rPr>
            <w:drawing>
              <wp:anchor distT="0" distB="0" distL="114300" distR="114300" simplePos="0" relativeHeight="251664384" behindDoc="0" locked="0" layoutInCell="1" allowOverlap="1" wp14:anchorId="3B7F736B" wp14:editId="237BA5F7">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1DFCC4" w14:textId="77777777" w:rsidR="003A5EA0" w:rsidRDefault="005E5831" w:rsidP="00493F8D">
          <w:pPr>
            <w:spacing w:after="0" w:line="276" w:lineRule="auto"/>
            <w:sectPr w:rsidR="003A5EA0" w:rsidSect="0041131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568" w:left="1440" w:header="708" w:footer="57" w:gutter="0"/>
              <w:pgNumType w:start="0"/>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599AC341" wp14:editId="21417C3E">
                    <wp:simplePos x="0" y="0"/>
                    <wp:positionH relativeFrom="page">
                      <wp:posOffset>552627</wp:posOffset>
                    </wp:positionH>
                    <wp:positionV relativeFrom="page">
                      <wp:posOffset>3507932</wp:posOffset>
                    </wp:positionV>
                    <wp:extent cx="6496050" cy="3232297"/>
                    <wp:effectExtent l="0" t="0" r="0" b="6350"/>
                    <wp:wrapThrough wrapText="bothSides">
                      <wp:wrapPolygon edited="0">
                        <wp:start x="0" y="0"/>
                        <wp:lineTo x="0" y="21515"/>
                        <wp:lineTo x="21537" y="21515"/>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323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EC4D" w14:textId="77777777" w:rsidR="00E60901" w:rsidRDefault="00E60901" w:rsidP="003A5EA0">
                                <w:pPr>
                                  <w:rPr>
                                    <w:rFonts w:eastAsiaTheme="majorEastAsia" w:cstheme="majorBidi"/>
                                    <w:b/>
                                    <w:color w:val="005EB8"/>
                                    <w:spacing w:val="-10"/>
                                    <w:kern w:val="28"/>
                                    <w:sz w:val="72"/>
                                    <w:szCs w:val="56"/>
                                  </w:rPr>
                                </w:pPr>
                                <w:r>
                                  <w:rPr>
                                    <w:rFonts w:eastAsiaTheme="majorEastAsia" w:cstheme="majorBidi"/>
                                    <w:b/>
                                    <w:color w:val="005EB8"/>
                                    <w:spacing w:val="-10"/>
                                    <w:kern w:val="28"/>
                                    <w:sz w:val="72"/>
                                    <w:szCs w:val="56"/>
                                  </w:rPr>
                                  <w:t>Network Contract Direct Enhanced Service</w:t>
                                </w:r>
                              </w:p>
                              <w:p w14:paraId="0378285C" w14:textId="77777777" w:rsidR="00E60901" w:rsidRDefault="00E60901" w:rsidP="00BE0BB8">
                                <w:pPr>
                                  <w:pStyle w:val="Title"/>
                                  <w:rPr>
                                    <w:rFonts w:eastAsiaTheme="minorHAnsi" w:cstheme="minorBidi"/>
                                    <w:color w:val="4472C4" w:themeColor="accent1"/>
                                    <w:spacing w:val="0"/>
                                    <w:kern w:val="0"/>
                                    <w:sz w:val="40"/>
                                    <w:szCs w:val="40"/>
                                  </w:rPr>
                                </w:pPr>
                                <w:r>
                                  <w:rPr>
                                    <w:rFonts w:eastAsiaTheme="minorHAnsi" w:cstheme="minorBidi"/>
                                    <w:color w:val="4472C4" w:themeColor="accent1"/>
                                    <w:spacing w:val="0"/>
                                    <w:kern w:val="0"/>
                                    <w:sz w:val="40"/>
                                    <w:szCs w:val="40"/>
                                  </w:rPr>
                                  <w:t>Draft Outline Service Specifications</w:t>
                                </w:r>
                              </w:p>
                              <w:p w14:paraId="33B0F17E" w14:textId="77777777" w:rsidR="00E60901" w:rsidRPr="003A5EA0" w:rsidRDefault="00E60901" w:rsidP="003A5EA0">
                                <w:pPr>
                                  <w:rPr>
                                    <w:b/>
                                    <w:color w:val="4472C4" w:themeColor="accent1"/>
                                    <w:sz w:val="40"/>
                                    <w:szCs w:val="40"/>
                                  </w:rPr>
                                </w:pPr>
                              </w:p>
                              <w:p w14:paraId="12A7F958" w14:textId="2954D6D5" w:rsidR="00E60901" w:rsidRPr="003A5EA0" w:rsidRDefault="00E60901" w:rsidP="00D74F92">
                                <w:proofErr w:type="gramStart"/>
                                <w:r>
                                  <w:t>v.1</w:t>
                                </w:r>
                                <w:r w:rsidR="00D72907">
                                  <w:t>8</w:t>
                                </w:r>
                                <w:r>
                                  <w:t>.12.2019  v.</w:t>
                                </w:r>
                                <w:r w:rsidR="00D72907">
                                  <w:t>4</w:t>
                                </w:r>
                                <w:r>
                                  <w:t>.0</w:t>
                                </w:r>
                                <w:proofErr w:type="gramEnd"/>
                                <w:r>
                                  <w:t xml:space="preserve">  </w:t>
                                </w:r>
                              </w:p>
                              <w:p w14:paraId="262D3EB9" w14:textId="18C7B07B" w:rsidR="00E60901" w:rsidRPr="003A5EA0" w:rsidRDefault="00E60901" w:rsidP="003A5EA0"/>
                              <w:p w14:paraId="30CC11C7" w14:textId="77777777" w:rsidR="00E60901" w:rsidRPr="006A40E3" w:rsidRDefault="00E60901"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AC341" id="_x0000_t202" coordsize="21600,21600" o:spt="202" path="m,l,21600r21600,l21600,xe">
                    <v:stroke joinstyle="miter"/>
                    <v:path gradientshapeok="t" o:connecttype="rect"/>
                  </v:shapetype>
                  <v:shape id="Text Box 20" o:spid="_x0000_s1026" type="#_x0000_t202" style="position:absolute;margin-left:43.5pt;margin-top:276.2pt;width:511.5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" filled="f" stroked="f">
                    <v:path arrowok="t"/>
                    <v:textbox inset="0,0,0,0">
                      <w:txbxContent>
                        <w:p w14:paraId="44EAEC4D" w14:textId="77777777" w:rsidR="00E60901" w:rsidRDefault="00E60901" w:rsidP="003A5EA0">
                          <w:pPr>
                            <w:rPr>
                              <w:rFonts w:eastAsiaTheme="majorEastAsia" w:cstheme="majorBidi"/>
                              <w:b/>
                              <w:color w:val="005EB8"/>
                              <w:spacing w:val="-10"/>
                              <w:kern w:val="28"/>
                              <w:sz w:val="72"/>
                              <w:szCs w:val="56"/>
                            </w:rPr>
                          </w:pPr>
                          <w:r>
                            <w:rPr>
                              <w:rFonts w:eastAsiaTheme="majorEastAsia" w:cstheme="majorBidi"/>
                              <w:b/>
                              <w:color w:val="005EB8"/>
                              <w:spacing w:val="-10"/>
                              <w:kern w:val="28"/>
                              <w:sz w:val="72"/>
                              <w:szCs w:val="56"/>
                            </w:rPr>
                            <w:t>Network Contract Direct Enhanced Service</w:t>
                          </w:r>
                        </w:p>
                        <w:p w14:paraId="0378285C" w14:textId="77777777" w:rsidR="00E60901" w:rsidRDefault="00E60901" w:rsidP="00BE0BB8">
                          <w:pPr>
                            <w:pStyle w:val="Title"/>
                            <w:rPr>
                              <w:rFonts w:eastAsiaTheme="minorHAnsi" w:cstheme="minorBidi"/>
                              <w:color w:val="4472C4" w:themeColor="accent1"/>
                              <w:spacing w:val="0"/>
                              <w:kern w:val="0"/>
                              <w:sz w:val="40"/>
                              <w:szCs w:val="40"/>
                            </w:rPr>
                          </w:pPr>
                          <w:r>
                            <w:rPr>
                              <w:rFonts w:eastAsiaTheme="minorHAnsi" w:cstheme="minorBidi"/>
                              <w:color w:val="4472C4" w:themeColor="accent1"/>
                              <w:spacing w:val="0"/>
                              <w:kern w:val="0"/>
                              <w:sz w:val="40"/>
                              <w:szCs w:val="40"/>
                            </w:rPr>
                            <w:t>Draft Outline Service Specifications</w:t>
                          </w:r>
                        </w:p>
                        <w:p w14:paraId="33B0F17E" w14:textId="77777777" w:rsidR="00E60901" w:rsidRPr="003A5EA0" w:rsidRDefault="00E60901" w:rsidP="003A5EA0">
                          <w:pPr>
                            <w:rPr>
                              <w:b/>
                              <w:color w:val="4472C4" w:themeColor="accent1"/>
                              <w:sz w:val="40"/>
                              <w:szCs w:val="40"/>
                            </w:rPr>
                          </w:pPr>
                        </w:p>
                        <w:p w14:paraId="12A7F958" w14:textId="2954D6D5" w:rsidR="00E60901" w:rsidRPr="003A5EA0" w:rsidRDefault="00E60901" w:rsidP="00D74F92">
                          <w:proofErr w:type="gramStart"/>
                          <w:r>
                            <w:t>v.1</w:t>
                          </w:r>
                          <w:r w:rsidR="00D72907">
                            <w:t>8</w:t>
                          </w:r>
                          <w:bookmarkStart w:id="1" w:name="_GoBack"/>
                          <w:bookmarkEnd w:id="1"/>
                          <w:r>
                            <w:t>.12.2019  v.</w:t>
                          </w:r>
                          <w:r w:rsidR="00D72907">
                            <w:t>4</w:t>
                          </w:r>
                          <w:r>
                            <w:t>.0</w:t>
                          </w:r>
                          <w:proofErr w:type="gramEnd"/>
                          <w:r>
                            <w:t xml:space="preserve">  </w:t>
                          </w:r>
                        </w:p>
                        <w:p w14:paraId="262D3EB9" w14:textId="18C7B07B" w:rsidR="00E60901" w:rsidRPr="003A5EA0" w:rsidRDefault="00E60901" w:rsidP="003A5EA0"/>
                        <w:p w14:paraId="30CC11C7" w14:textId="77777777" w:rsidR="00E60901" w:rsidRPr="006A40E3" w:rsidRDefault="00E60901" w:rsidP="005E5831">
                          <w:pPr>
                            <w:pStyle w:val="Subtitle"/>
                            <w:rPr>
                              <w:rStyle w:val="BookTitle"/>
                              <w:color w:val="auto"/>
                            </w:rPr>
                          </w:pPr>
                        </w:p>
                      </w:txbxContent>
                    </v:textbox>
                    <w10:wrap type="through" anchorx="page" anchory="page"/>
                  </v:shape>
                </w:pict>
              </mc:Fallback>
            </mc:AlternateContent>
          </w:r>
          <w:r w:rsidRPr="005E5831">
            <w:rPr>
              <w:noProof/>
            </w:rPr>
            <mc:AlternateContent>
              <mc:Choice Requires="wps">
                <w:drawing>
                  <wp:anchor distT="0" distB="0" distL="114300" distR="114300" simplePos="0" relativeHeight="251660288" behindDoc="0" locked="0" layoutInCell="1" allowOverlap="1" wp14:anchorId="68481204" wp14:editId="2FE805D6">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77D7F3E6" w14:textId="77777777" w:rsidR="00E60901" w:rsidRPr="005E5831" w:rsidRDefault="00E60901"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81204"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77D7F3E6" w14:textId="77777777" w:rsidR="00E60901" w:rsidRPr="005E5831" w:rsidRDefault="00E60901"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0" locked="0" layoutInCell="1" allowOverlap="1" wp14:anchorId="7334A92C" wp14:editId="464AF34C">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bookmarkStart w:id="1" w:name="_Toc27473064"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52769829" w14:textId="77777777" w:rsidR="005E5831" w:rsidRPr="00972C38" w:rsidRDefault="005E5831" w:rsidP="00493F8D">
          <w:pPr>
            <w:pStyle w:val="Heading1"/>
            <w:spacing w:line="276" w:lineRule="auto"/>
            <w:ind w:left="432" w:hanging="432"/>
            <w:rPr>
              <w:szCs w:val="32"/>
            </w:rPr>
          </w:pPr>
          <w:r w:rsidRPr="00972C38">
            <w:rPr>
              <w:szCs w:val="32"/>
            </w:rPr>
            <w:t>Contents</w:t>
          </w:r>
          <w:bookmarkEnd w:id="1"/>
        </w:p>
        <w:p w14:paraId="2AB83623" w14:textId="77777777" w:rsidR="005E5831" w:rsidRPr="00972C38" w:rsidRDefault="005E5831" w:rsidP="00493F8D">
          <w:pPr>
            <w:spacing w:after="0" w:line="276" w:lineRule="auto"/>
            <w:rPr>
              <w:b/>
              <w:color w:val="44546A" w:themeColor="text2"/>
              <w:szCs w:val="24"/>
            </w:rPr>
          </w:pPr>
        </w:p>
        <w:p w14:paraId="566E09AD" w14:textId="26E857E6" w:rsidR="000C6C5B"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27473064" w:history="1">
            <w:r w:rsidR="000C6C5B" w:rsidRPr="00F65648">
              <w:rPr>
                <w:rStyle w:val="Hyperlink"/>
                <w:rFonts w:eastAsiaTheme="majorEastAsia"/>
                <w:noProof/>
              </w:rPr>
              <w:t>Contents</w:t>
            </w:r>
            <w:r w:rsidR="000C6C5B">
              <w:rPr>
                <w:noProof/>
                <w:webHidden/>
              </w:rPr>
              <w:tab/>
            </w:r>
            <w:r w:rsidR="000C6C5B">
              <w:rPr>
                <w:noProof/>
                <w:webHidden/>
              </w:rPr>
              <w:fldChar w:fldCharType="begin"/>
            </w:r>
            <w:r w:rsidR="000C6C5B">
              <w:rPr>
                <w:noProof/>
                <w:webHidden/>
              </w:rPr>
              <w:instrText xml:space="preserve"> PAGEREF _Toc27473064 \h </w:instrText>
            </w:r>
            <w:r w:rsidR="000C6C5B">
              <w:rPr>
                <w:noProof/>
                <w:webHidden/>
              </w:rPr>
            </w:r>
            <w:r w:rsidR="000C6C5B">
              <w:rPr>
                <w:noProof/>
                <w:webHidden/>
              </w:rPr>
              <w:fldChar w:fldCharType="separate"/>
            </w:r>
            <w:r w:rsidR="000C6C5B">
              <w:rPr>
                <w:noProof/>
                <w:webHidden/>
              </w:rPr>
              <w:t>1</w:t>
            </w:r>
            <w:r w:rsidR="000C6C5B">
              <w:rPr>
                <w:noProof/>
                <w:webHidden/>
              </w:rPr>
              <w:fldChar w:fldCharType="end"/>
            </w:r>
          </w:hyperlink>
        </w:p>
        <w:p w14:paraId="567626A9" w14:textId="5A2EBE9E" w:rsidR="000C6C5B" w:rsidRDefault="00921D20">
          <w:pPr>
            <w:pStyle w:val="TOC1"/>
            <w:rPr>
              <w:rFonts w:asciiTheme="minorHAnsi" w:eastAsiaTheme="minorEastAsia" w:hAnsiTheme="minorHAnsi" w:cstheme="minorBidi"/>
              <w:bCs w:val="0"/>
              <w:noProof/>
              <w:sz w:val="22"/>
              <w:szCs w:val="22"/>
              <w:lang w:eastAsia="en-GB"/>
            </w:rPr>
          </w:pPr>
          <w:hyperlink w:anchor="_Toc27473065" w:history="1">
            <w:r w:rsidR="000C6C5B" w:rsidRPr="00F65648">
              <w:rPr>
                <w:rStyle w:val="Hyperlink"/>
                <w:rFonts w:eastAsiaTheme="majorEastAsia"/>
                <w:noProof/>
              </w:rPr>
              <w:t>1.</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Introduction</w:t>
            </w:r>
            <w:r w:rsidR="000C6C5B">
              <w:rPr>
                <w:noProof/>
                <w:webHidden/>
              </w:rPr>
              <w:tab/>
            </w:r>
            <w:r w:rsidR="000C6C5B">
              <w:rPr>
                <w:noProof/>
                <w:webHidden/>
              </w:rPr>
              <w:fldChar w:fldCharType="begin"/>
            </w:r>
            <w:r w:rsidR="000C6C5B">
              <w:rPr>
                <w:noProof/>
                <w:webHidden/>
              </w:rPr>
              <w:instrText xml:space="preserve"> PAGEREF _Toc27473065 \h </w:instrText>
            </w:r>
            <w:r w:rsidR="000C6C5B">
              <w:rPr>
                <w:noProof/>
                <w:webHidden/>
              </w:rPr>
            </w:r>
            <w:r w:rsidR="000C6C5B">
              <w:rPr>
                <w:noProof/>
                <w:webHidden/>
              </w:rPr>
              <w:fldChar w:fldCharType="separate"/>
            </w:r>
            <w:r w:rsidR="000C6C5B">
              <w:rPr>
                <w:noProof/>
                <w:webHidden/>
              </w:rPr>
              <w:t>2</w:t>
            </w:r>
            <w:r w:rsidR="000C6C5B">
              <w:rPr>
                <w:noProof/>
                <w:webHidden/>
              </w:rPr>
              <w:fldChar w:fldCharType="end"/>
            </w:r>
          </w:hyperlink>
        </w:p>
        <w:p w14:paraId="0DB6020E" w14:textId="6DFBCC49" w:rsidR="000C6C5B" w:rsidRDefault="00921D20">
          <w:pPr>
            <w:pStyle w:val="TOC1"/>
            <w:rPr>
              <w:rFonts w:asciiTheme="minorHAnsi" w:eastAsiaTheme="minorEastAsia" w:hAnsiTheme="minorHAnsi" w:cstheme="minorBidi"/>
              <w:bCs w:val="0"/>
              <w:noProof/>
              <w:sz w:val="22"/>
              <w:szCs w:val="22"/>
              <w:lang w:eastAsia="en-GB"/>
            </w:rPr>
          </w:pPr>
          <w:hyperlink w:anchor="_Toc27473066" w:history="1">
            <w:r w:rsidR="000C6C5B" w:rsidRPr="00F65648">
              <w:rPr>
                <w:rStyle w:val="Hyperlink"/>
                <w:rFonts w:eastAsiaTheme="majorEastAsia"/>
                <w:noProof/>
              </w:rPr>
              <w:t>2.</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Structured Medication Review and Medicines Optimisation</w:t>
            </w:r>
            <w:r w:rsidR="000C6C5B">
              <w:rPr>
                <w:noProof/>
                <w:webHidden/>
              </w:rPr>
              <w:tab/>
            </w:r>
            <w:r w:rsidR="000C6C5B">
              <w:rPr>
                <w:noProof/>
                <w:webHidden/>
              </w:rPr>
              <w:fldChar w:fldCharType="begin"/>
            </w:r>
            <w:r w:rsidR="000C6C5B">
              <w:rPr>
                <w:noProof/>
                <w:webHidden/>
              </w:rPr>
              <w:instrText xml:space="preserve"> PAGEREF _Toc27473066 \h </w:instrText>
            </w:r>
            <w:r w:rsidR="000C6C5B">
              <w:rPr>
                <w:noProof/>
                <w:webHidden/>
              </w:rPr>
            </w:r>
            <w:r w:rsidR="000C6C5B">
              <w:rPr>
                <w:noProof/>
                <w:webHidden/>
              </w:rPr>
              <w:fldChar w:fldCharType="separate"/>
            </w:r>
            <w:r w:rsidR="000C6C5B">
              <w:rPr>
                <w:noProof/>
                <w:webHidden/>
              </w:rPr>
              <w:t>8</w:t>
            </w:r>
            <w:r w:rsidR="000C6C5B">
              <w:rPr>
                <w:noProof/>
                <w:webHidden/>
              </w:rPr>
              <w:fldChar w:fldCharType="end"/>
            </w:r>
          </w:hyperlink>
        </w:p>
        <w:p w14:paraId="1A7992B4" w14:textId="226B2F1F" w:rsidR="000C6C5B" w:rsidRDefault="00921D20">
          <w:pPr>
            <w:pStyle w:val="TOC1"/>
            <w:rPr>
              <w:rFonts w:asciiTheme="minorHAnsi" w:eastAsiaTheme="minorEastAsia" w:hAnsiTheme="minorHAnsi" w:cstheme="minorBidi"/>
              <w:bCs w:val="0"/>
              <w:noProof/>
              <w:sz w:val="22"/>
              <w:szCs w:val="22"/>
              <w:lang w:eastAsia="en-GB"/>
            </w:rPr>
          </w:pPr>
          <w:hyperlink w:anchor="_Toc27473067" w:history="1">
            <w:r w:rsidR="000C6C5B" w:rsidRPr="00F65648">
              <w:rPr>
                <w:rStyle w:val="Hyperlink"/>
                <w:rFonts w:eastAsiaTheme="majorEastAsia"/>
                <w:noProof/>
              </w:rPr>
              <w:t>3.</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Enhanced Health in Care Homes</w:t>
            </w:r>
            <w:r w:rsidR="000C6C5B">
              <w:rPr>
                <w:noProof/>
                <w:webHidden/>
              </w:rPr>
              <w:tab/>
            </w:r>
            <w:r w:rsidR="000C6C5B">
              <w:rPr>
                <w:noProof/>
                <w:webHidden/>
              </w:rPr>
              <w:fldChar w:fldCharType="begin"/>
            </w:r>
            <w:r w:rsidR="000C6C5B">
              <w:rPr>
                <w:noProof/>
                <w:webHidden/>
              </w:rPr>
              <w:instrText xml:space="preserve"> PAGEREF _Toc27473067 \h </w:instrText>
            </w:r>
            <w:r w:rsidR="000C6C5B">
              <w:rPr>
                <w:noProof/>
                <w:webHidden/>
              </w:rPr>
            </w:r>
            <w:r w:rsidR="000C6C5B">
              <w:rPr>
                <w:noProof/>
                <w:webHidden/>
              </w:rPr>
              <w:fldChar w:fldCharType="separate"/>
            </w:r>
            <w:r w:rsidR="000C6C5B">
              <w:rPr>
                <w:noProof/>
                <w:webHidden/>
              </w:rPr>
              <w:t>13</w:t>
            </w:r>
            <w:r w:rsidR="000C6C5B">
              <w:rPr>
                <w:noProof/>
                <w:webHidden/>
              </w:rPr>
              <w:fldChar w:fldCharType="end"/>
            </w:r>
          </w:hyperlink>
        </w:p>
        <w:p w14:paraId="44FDBF09" w14:textId="1C0C91CA" w:rsidR="000C6C5B" w:rsidRDefault="00921D20">
          <w:pPr>
            <w:pStyle w:val="TOC1"/>
            <w:rPr>
              <w:rFonts w:asciiTheme="minorHAnsi" w:eastAsiaTheme="minorEastAsia" w:hAnsiTheme="minorHAnsi" w:cstheme="minorBidi"/>
              <w:bCs w:val="0"/>
              <w:noProof/>
              <w:sz w:val="22"/>
              <w:szCs w:val="22"/>
              <w:lang w:eastAsia="en-GB"/>
            </w:rPr>
          </w:pPr>
          <w:hyperlink w:anchor="_Toc27473068" w:history="1">
            <w:r w:rsidR="000C6C5B" w:rsidRPr="00F65648">
              <w:rPr>
                <w:rStyle w:val="Hyperlink"/>
                <w:rFonts w:eastAsiaTheme="majorEastAsia"/>
                <w:noProof/>
              </w:rPr>
              <w:t>4.</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Anticipatory Care</w:t>
            </w:r>
            <w:r w:rsidR="000C6C5B">
              <w:rPr>
                <w:noProof/>
                <w:webHidden/>
              </w:rPr>
              <w:tab/>
            </w:r>
            <w:r w:rsidR="000C6C5B">
              <w:rPr>
                <w:noProof/>
                <w:webHidden/>
              </w:rPr>
              <w:fldChar w:fldCharType="begin"/>
            </w:r>
            <w:r w:rsidR="000C6C5B">
              <w:rPr>
                <w:noProof/>
                <w:webHidden/>
              </w:rPr>
              <w:instrText xml:space="preserve"> PAGEREF _Toc27473068 \h </w:instrText>
            </w:r>
            <w:r w:rsidR="000C6C5B">
              <w:rPr>
                <w:noProof/>
                <w:webHidden/>
              </w:rPr>
            </w:r>
            <w:r w:rsidR="000C6C5B">
              <w:rPr>
                <w:noProof/>
                <w:webHidden/>
              </w:rPr>
              <w:fldChar w:fldCharType="separate"/>
            </w:r>
            <w:r w:rsidR="000C6C5B">
              <w:rPr>
                <w:noProof/>
                <w:webHidden/>
              </w:rPr>
              <w:t>21</w:t>
            </w:r>
            <w:r w:rsidR="000C6C5B">
              <w:rPr>
                <w:noProof/>
                <w:webHidden/>
              </w:rPr>
              <w:fldChar w:fldCharType="end"/>
            </w:r>
          </w:hyperlink>
        </w:p>
        <w:p w14:paraId="55968639" w14:textId="38CE2ED9" w:rsidR="000C6C5B" w:rsidRDefault="00921D20">
          <w:pPr>
            <w:pStyle w:val="TOC1"/>
            <w:rPr>
              <w:rFonts w:asciiTheme="minorHAnsi" w:eastAsiaTheme="minorEastAsia" w:hAnsiTheme="minorHAnsi" w:cstheme="minorBidi"/>
              <w:bCs w:val="0"/>
              <w:noProof/>
              <w:sz w:val="22"/>
              <w:szCs w:val="22"/>
              <w:lang w:eastAsia="en-GB"/>
            </w:rPr>
          </w:pPr>
          <w:hyperlink w:anchor="_Toc27473069" w:history="1">
            <w:r w:rsidR="000C6C5B" w:rsidRPr="00F65648">
              <w:rPr>
                <w:rStyle w:val="Hyperlink"/>
                <w:rFonts w:eastAsiaTheme="majorEastAsia"/>
                <w:noProof/>
              </w:rPr>
              <w:t>5.</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Personalised Care</w:t>
            </w:r>
            <w:r w:rsidR="000C6C5B">
              <w:rPr>
                <w:noProof/>
                <w:webHidden/>
              </w:rPr>
              <w:tab/>
            </w:r>
            <w:r w:rsidR="000C6C5B">
              <w:rPr>
                <w:noProof/>
                <w:webHidden/>
              </w:rPr>
              <w:fldChar w:fldCharType="begin"/>
            </w:r>
            <w:r w:rsidR="000C6C5B">
              <w:rPr>
                <w:noProof/>
                <w:webHidden/>
              </w:rPr>
              <w:instrText xml:space="preserve"> PAGEREF _Toc27473069 \h </w:instrText>
            </w:r>
            <w:r w:rsidR="000C6C5B">
              <w:rPr>
                <w:noProof/>
                <w:webHidden/>
              </w:rPr>
            </w:r>
            <w:r w:rsidR="000C6C5B">
              <w:rPr>
                <w:noProof/>
                <w:webHidden/>
              </w:rPr>
              <w:fldChar w:fldCharType="separate"/>
            </w:r>
            <w:r w:rsidR="000C6C5B">
              <w:rPr>
                <w:noProof/>
                <w:webHidden/>
              </w:rPr>
              <w:t>28</w:t>
            </w:r>
            <w:r w:rsidR="000C6C5B">
              <w:rPr>
                <w:noProof/>
                <w:webHidden/>
              </w:rPr>
              <w:fldChar w:fldCharType="end"/>
            </w:r>
          </w:hyperlink>
        </w:p>
        <w:p w14:paraId="0AA81D44" w14:textId="24DCD472" w:rsidR="000C6C5B" w:rsidRDefault="00921D20">
          <w:pPr>
            <w:pStyle w:val="TOC1"/>
            <w:rPr>
              <w:rFonts w:asciiTheme="minorHAnsi" w:eastAsiaTheme="minorEastAsia" w:hAnsiTheme="minorHAnsi" w:cstheme="minorBidi"/>
              <w:bCs w:val="0"/>
              <w:noProof/>
              <w:sz w:val="22"/>
              <w:szCs w:val="22"/>
              <w:lang w:eastAsia="en-GB"/>
            </w:rPr>
          </w:pPr>
          <w:hyperlink w:anchor="_Toc27473070" w:history="1">
            <w:r w:rsidR="000C6C5B" w:rsidRPr="00F65648">
              <w:rPr>
                <w:rStyle w:val="Hyperlink"/>
                <w:rFonts w:eastAsiaTheme="majorEastAsia"/>
                <w:noProof/>
              </w:rPr>
              <w:t>6.</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Supporting Early Cancer Diagnosis</w:t>
            </w:r>
            <w:r w:rsidR="000C6C5B">
              <w:rPr>
                <w:noProof/>
                <w:webHidden/>
              </w:rPr>
              <w:tab/>
            </w:r>
            <w:r w:rsidR="000C6C5B">
              <w:rPr>
                <w:noProof/>
                <w:webHidden/>
              </w:rPr>
              <w:fldChar w:fldCharType="begin"/>
            </w:r>
            <w:r w:rsidR="000C6C5B">
              <w:rPr>
                <w:noProof/>
                <w:webHidden/>
              </w:rPr>
              <w:instrText xml:space="preserve"> PAGEREF _Toc27473070 \h </w:instrText>
            </w:r>
            <w:r w:rsidR="000C6C5B">
              <w:rPr>
                <w:noProof/>
                <w:webHidden/>
              </w:rPr>
            </w:r>
            <w:r w:rsidR="000C6C5B">
              <w:rPr>
                <w:noProof/>
                <w:webHidden/>
              </w:rPr>
              <w:fldChar w:fldCharType="separate"/>
            </w:r>
            <w:r w:rsidR="000C6C5B">
              <w:rPr>
                <w:noProof/>
                <w:webHidden/>
              </w:rPr>
              <w:t>34</w:t>
            </w:r>
            <w:r w:rsidR="000C6C5B">
              <w:rPr>
                <w:noProof/>
                <w:webHidden/>
              </w:rPr>
              <w:fldChar w:fldCharType="end"/>
            </w:r>
          </w:hyperlink>
        </w:p>
        <w:p w14:paraId="6E776409" w14:textId="04135D55" w:rsidR="000C6C5B" w:rsidRDefault="00921D20">
          <w:pPr>
            <w:pStyle w:val="TOC1"/>
            <w:rPr>
              <w:rFonts w:asciiTheme="minorHAnsi" w:eastAsiaTheme="minorEastAsia" w:hAnsiTheme="minorHAnsi" w:cstheme="minorBidi"/>
              <w:bCs w:val="0"/>
              <w:noProof/>
              <w:sz w:val="22"/>
              <w:szCs w:val="22"/>
              <w:lang w:eastAsia="en-GB"/>
            </w:rPr>
          </w:pPr>
          <w:hyperlink w:anchor="_Toc27473071" w:history="1">
            <w:r w:rsidR="000C6C5B" w:rsidRPr="00F65648">
              <w:rPr>
                <w:rStyle w:val="Hyperlink"/>
                <w:rFonts w:eastAsiaTheme="majorEastAsia"/>
                <w:noProof/>
              </w:rPr>
              <w:t>7.</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Questions for Engagement</w:t>
            </w:r>
            <w:r w:rsidR="000C6C5B">
              <w:rPr>
                <w:noProof/>
                <w:webHidden/>
              </w:rPr>
              <w:tab/>
            </w:r>
            <w:r w:rsidR="000C6C5B">
              <w:rPr>
                <w:noProof/>
                <w:webHidden/>
              </w:rPr>
              <w:fldChar w:fldCharType="begin"/>
            </w:r>
            <w:r w:rsidR="000C6C5B">
              <w:rPr>
                <w:noProof/>
                <w:webHidden/>
              </w:rPr>
              <w:instrText xml:space="preserve"> PAGEREF _Toc27473071 \h </w:instrText>
            </w:r>
            <w:r w:rsidR="000C6C5B">
              <w:rPr>
                <w:noProof/>
                <w:webHidden/>
              </w:rPr>
            </w:r>
            <w:r w:rsidR="000C6C5B">
              <w:rPr>
                <w:noProof/>
                <w:webHidden/>
              </w:rPr>
              <w:fldChar w:fldCharType="separate"/>
            </w:r>
            <w:r w:rsidR="000C6C5B">
              <w:rPr>
                <w:noProof/>
                <w:webHidden/>
              </w:rPr>
              <w:t>41</w:t>
            </w:r>
            <w:r w:rsidR="000C6C5B">
              <w:rPr>
                <w:noProof/>
                <w:webHidden/>
              </w:rPr>
              <w:fldChar w:fldCharType="end"/>
            </w:r>
          </w:hyperlink>
        </w:p>
        <w:p w14:paraId="118FBC8E" w14:textId="133AEBA0" w:rsidR="005E5831" w:rsidRDefault="005E5831" w:rsidP="00493F8D">
          <w:pPr>
            <w:spacing w:after="0" w:line="276" w:lineRule="auto"/>
          </w:pPr>
          <w:r>
            <w:rPr>
              <w:b/>
              <w:noProof/>
            </w:rPr>
            <w:fldChar w:fldCharType="end"/>
          </w:r>
        </w:p>
      </w:sdtContent>
    </w:sdt>
    <w:p w14:paraId="52414DBB" w14:textId="77777777" w:rsidR="005E5831" w:rsidRDefault="005E5831" w:rsidP="00493F8D">
      <w:pPr>
        <w:spacing w:after="0" w:line="276" w:lineRule="auto"/>
        <w:rPr>
          <w:rFonts w:cs="Arial"/>
          <w:color w:val="0072C6"/>
          <w:kern w:val="32"/>
          <w:sz w:val="32"/>
          <w:szCs w:val="32"/>
        </w:rPr>
      </w:pPr>
      <w:r>
        <w:br w:type="page"/>
      </w:r>
    </w:p>
    <w:p w14:paraId="2E4FD6FA" w14:textId="77777777" w:rsidR="00DE642F" w:rsidRDefault="00151F77" w:rsidP="000A0F1E">
      <w:pPr>
        <w:pStyle w:val="Heading1"/>
        <w:numPr>
          <w:ilvl w:val="0"/>
          <w:numId w:val="1"/>
        </w:numPr>
        <w:spacing w:line="276" w:lineRule="auto"/>
        <w:ind w:left="-142"/>
      </w:pPr>
      <w:bookmarkStart w:id="2" w:name="_Toc19021046"/>
      <w:bookmarkStart w:id="3" w:name="_Toc27473065"/>
      <w:r>
        <w:lastRenderedPageBreak/>
        <w:t>Introduction</w:t>
      </w:r>
      <w:bookmarkEnd w:id="2"/>
      <w:bookmarkEnd w:id="3"/>
    </w:p>
    <w:p w14:paraId="47F6F8B5" w14:textId="77777777" w:rsidR="00DE642F" w:rsidRDefault="00DE642F" w:rsidP="00493F8D">
      <w:pPr>
        <w:spacing w:after="0" w:line="276" w:lineRule="auto"/>
      </w:pPr>
    </w:p>
    <w:p w14:paraId="68B000F5" w14:textId="735BA101" w:rsidR="000C27A5" w:rsidRPr="007F4028" w:rsidRDefault="00F87ADF" w:rsidP="00273EC4">
      <w:pPr>
        <w:pStyle w:val="ListParagraph"/>
        <w:numPr>
          <w:ilvl w:val="1"/>
          <w:numId w:val="1"/>
        </w:numPr>
        <w:spacing w:line="276" w:lineRule="auto"/>
        <w:ind w:left="567" w:hanging="567"/>
        <w:rPr>
          <w:rFonts w:cs="Arial"/>
          <w:szCs w:val="24"/>
        </w:rPr>
      </w:pPr>
      <w:r w:rsidRPr="007D7F29">
        <w:rPr>
          <w:rFonts w:cs="Arial"/>
          <w:b/>
          <w:color w:val="202A30"/>
          <w:szCs w:val="24"/>
          <w:shd w:val="clear" w:color="auto" w:fill="FFFFFF"/>
        </w:rPr>
        <w:t xml:space="preserve">In January 2019, NHS England and GPC England agreed </w:t>
      </w:r>
      <w:r w:rsidRPr="007D7F29">
        <w:rPr>
          <w:rFonts w:cs="Arial"/>
          <w:b/>
          <w:i/>
          <w:color w:val="202A30"/>
          <w:szCs w:val="24"/>
          <w:shd w:val="clear" w:color="auto" w:fill="FFFFFF"/>
        </w:rPr>
        <w:t>Investment and Evolution</w:t>
      </w:r>
      <w:r>
        <w:rPr>
          <w:rFonts w:cs="Arial"/>
          <w:i/>
          <w:color w:val="202A30"/>
          <w:szCs w:val="24"/>
          <w:shd w:val="clear" w:color="auto" w:fill="FFFFFF"/>
        </w:rPr>
        <w:t xml:space="preserve">: </w:t>
      </w:r>
      <w:r>
        <w:rPr>
          <w:rFonts w:cs="Arial"/>
          <w:color w:val="202A30"/>
          <w:szCs w:val="24"/>
          <w:shd w:val="clear" w:color="auto" w:fill="FFFFFF"/>
        </w:rPr>
        <w:t>a five-year GP contract framework which</w:t>
      </w:r>
      <w:r w:rsidR="00DE642F">
        <w:rPr>
          <w:rFonts w:cs="Arial"/>
          <w:color w:val="202A30"/>
          <w:szCs w:val="24"/>
          <w:shd w:val="clear" w:color="auto" w:fill="FFFFFF"/>
        </w:rPr>
        <w:t xml:space="preserve"> aimed to alleviate the workforce pressures on general practice, secure enhanced investment into primary medical care, and </w:t>
      </w:r>
      <w:r w:rsidR="003E0519">
        <w:rPr>
          <w:rFonts w:cs="Arial"/>
          <w:color w:val="202A30"/>
          <w:szCs w:val="24"/>
          <w:shd w:val="clear" w:color="auto" w:fill="FFFFFF"/>
        </w:rPr>
        <w:t xml:space="preserve">roll out </w:t>
      </w:r>
      <w:r w:rsidR="00DE642F">
        <w:rPr>
          <w:rFonts w:cs="Arial"/>
          <w:color w:val="202A30"/>
          <w:szCs w:val="24"/>
          <w:shd w:val="clear" w:color="auto" w:fill="FFFFFF"/>
        </w:rPr>
        <w:t xml:space="preserve">new service models – in collaboration with community services and other providers – to </w:t>
      </w:r>
      <w:r w:rsidR="003E0519">
        <w:rPr>
          <w:rFonts w:cs="Arial"/>
          <w:color w:val="202A30"/>
          <w:szCs w:val="24"/>
          <w:shd w:val="clear" w:color="auto" w:fill="FFFFFF"/>
        </w:rPr>
        <w:t xml:space="preserve">secure </w:t>
      </w:r>
      <w:r w:rsidR="00341310">
        <w:rPr>
          <w:rFonts w:cs="Arial"/>
          <w:color w:val="202A30"/>
          <w:szCs w:val="24"/>
          <w:shd w:val="clear" w:color="auto" w:fill="FFFFFF"/>
        </w:rPr>
        <w:t xml:space="preserve">major </w:t>
      </w:r>
      <w:r w:rsidR="0094023F">
        <w:rPr>
          <w:rFonts w:cs="Arial"/>
          <w:color w:val="202A30"/>
          <w:szCs w:val="24"/>
          <w:shd w:val="clear" w:color="auto" w:fill="FFFFFF"/>
        </w:rPr>
        <w:t>improvements in proactive and preventative care for patients.</w:t>
      </w:r>
      <w:r w:rsidR="00CB67E8">
        <w:rPr>
          <w:rFonts w:cs="Arial"/>
          <w:color w:val="202A30"/>
          <w:szCs w:val="24"/>
          <w:shd w:val="clear" w:color="auto" w:fill="FFFFFF"/>
        </w:rPr>
        <w:t xml:space="preserve"> The GP contract framework</w:t>
      </w:r>
      <w:r w:rsidR="001660C3">
        <w:rPr>
          <w:rFonts w:cs="Arial"/>
          <w:color w:val="202A30"/>
          <w:szCs w:val="24"/>
          <w:shd w:val="clear" w:color="auto" w:fill="FFFFFF"/>
        </w:rPr>
        <w:t>, launched in January 2019,</w:t>
      </w:r>
      <w:r w:rsidR="00CB67E8">
        <w:rPr>
          <w:rFonts w:cs="Arial"/>
          <w:color w:val="202A30"/>
          <w:szCs w:val="24"/>
          <w:shd w:val="clear" w:color="auto" w:fill="FFFFFF"/>
        </w:rPr>
        <w:t xml:space="preserve"> </w:t>
      </w:r>
      <w:r w:rsidR="00341310">
        <w:rPr>
          <w:rFonts w:cs="Arial"/>
          <w:color w:val="202A30"/>
          <w:szCs w:val="24"/>
          <w:shd w:val="clear" w:color="auto" w:fill="FFFFFF"/>
        </w:rPr>
        <w:t xml:space="preserve">commits £978m of additional funding through the core practice contract and £1.799bn through a new Network Contract Direct Enhanced Service (DES) by 2023/24, as part of </w:t>
      </w:r>
      <w:r w:rsidR="00CB67E8">
        <w:rPr>
          <w:rFonts w:cs="Arial"/>
          <w:color w:val="202A30"/>
          <w:szCs w:val="24"/>
          <w:shd w:val="clear" w:color="auto" w:fill="FFFFFF"/>
        </w:rPr>
        <w:t xml:space="preserve">our </w:t>
      </w:r>
      <w:r w:rsidR="00341310">
        <w:rPr>
          <w:rFonts w:cs="Arial"/>
          <w:color w:val="202A30"/>
          <w:szCs w:val="24"/>
          <w:shd w:val="clear" w:color="auto" w:fill="FFFFFF"/>
        </w:rPr>
        <w:t xml:space="preserve">wider </w:t>
      </w:r>
      <w:r w:rsidR="00CB67E8">
        <w:rPr>
          <w:rFonts w:cs="Arial"/>
          <w:color w:val="202A30"/>
          <w:szCs w:val="24"/>
          <w:shd w:val="clear" w:color="auto" w:fill="FFFFFF"/>
        </w:rPr>
        <w:t>commitment that</w:t>
      </w:r>
      <w:r w:rsidR="00D60C24">
        <w:rPr>
          <w:rFonts w:cs="Arial"/>
          <w:color w:val="202A30"/>
          <w:szCs w:val="24"/>
          <w:shd w:val="clear" w:color="auto" w:fill="FFFFFF"/>
        </w:rPr>
        <w:t xml:space="preserve">, on current plans, </w:t>
      </w:r>
      <w:r w:rsidR="00CB67E8">
        <w:rPr>
          <w:rFonts w:cs="Arial"/>
          <w:color w:val="202A30"/>
          <w:szCs w:val="24"/>
          <w:shd w:val="clear" w:color="auto" w:fill="FFFFFF"/>
        </w:rPr>
        <w:t xml:space="preserve">funding </w:t>
      </w:r>
      <w:r w:rsidR="00CB67E8" w:rsidRPr="00CB67E8">
        <w:rPr>
          <w:rFonts w:cs="Arial"/>
          <w:color w:val="202A30"/>
          <w:szCs w:val="24"/>
          <w:shd w:val="clear" w:color="auto" w:fill="FFFFFF"/>
        </w:rPr>
        <w:t xml:space="preserve">for primary medical and community services </w:t>
      </w:r>
      <w:r w:rsidR="00CB67E8">
        <w:rPr>
          <w:rFonts w:cs="Arial"/>
          <w:color w:val="202A30"/>
          <w:szCs w:val="24"/>
          <w:shd w:val="clear" w:color="auto" w:fill="FFFFFF"/>
        </w:rPr>
        <w:t xml:space="preserve">will </w:t>
      </w:r>
      <w:r w:rsidR="00CB67E8" w:rsidRPr="00CB67E8">
        <w:rPr>
          <w:rFonts w:cs="Arial"/>
          <w:color w:val="202A30"/>
          <w:szCs w:val="24"/>
          <w:shd w:val="clear" w:color="auto" w:fill="FFFFFF"/>
        </w:rPr>
        <w:t xml:space="preserve">increase </w:t>
      </w:r>
      <w:r w:rsidR="00AA4D31">
        <w:rPr>
          <w:rFonts w:cs="Arial"/>
          <w:color w:val="202A30"/>
          <w:szCs w:val="24"/>
          <w:shd w:val="clear" w:color="auto" w:fill="FFFFFF"/>
        </w:rPr>
        <w:t xml:space="preserve">faster than the rest of the </w:t>
      </w:r>
      <w:r w:rsidR="00762950">
        <w:rPr>
          <w:rFonts w:cs="Arial"/>
          <w:color w:val="202A30"/>
          <w:szCs w:val="24"/>
          <w:shd w:val="clear" w:color="auto" w:fill="FFFFFF"/>
        </w:rPr>
        <w:t xml:space="preserve">rising </w:t>
      </w:r>
      <w:r w:rsidR="00AA4D31">
        <w:rPr>
          <w:rFonts w:cs="Arial"/>
          <w:color w:val="202A30"/>
          <w:szCs w:val="24"/>
          <w:shd w:val="clear" w:color="auto" w:fill="FFFFFF"/>
        </w:rPr>
        <w:t xml:space="preserve">NHS budget </w:t>
      </w:r>
      <w:r w:rsidR="00762950">
        <w:rPr>
          <w:rFonts w:cs="Arial"/>
          <w:color w:val="202A30"/>
          <w:szCs w:val="24"/>
          <w:shd w:val="clear" w:color="auto" w:fill="FFFFFF"/>
        </w:rPr>
        <w:t xml:space="preserve">over the next five years. </w:t>
      </w:r>
      <w:r w:rsidR="00762950" w:rsidRPr="00DE52AD">
        <w:rPr>
          <w:rFonts w:cs="Arial"/>
          <w:b/>
          <w:color w:val="202A30"/>
          <w:szCs w:val="24"/>
          <w:shd w:val="clear" w:color="auto" w:fill="FFFFFF"/>
        </w:rPr>
        <w:t xml:space="preserve">By 2023/24 spending on these services will rise </w:t>
      </w:r>
      <w:r w:rsidR="00CB67E8" w:rsidRPr="00DE52AD">
        <w:rPr>
          <w:rFonts w:cs="Arial"/>
          <w:b/>
          <w:color w:val="202A30"/>
          <w:szCs w:val="24"/>
          <w:shd w:val="clear" w:color="auto" w:fill="FFFFFF"/>
        </w:rPr>
        <w:t>by over £4.5 billion in real terms</w:t>
      </w:r>
      <w:r w:rsidR="00CB67E8">
        <w:rPr>
          <w:rFonts w:cs="Arial"/>
          <w:color w:val="202A30"/>
          <w:szCs w:val="24"/>
          <w:shd w:val="clear" w:color="auto" w:fill="FFFFFF"/>
        </w:rPr>
        <w:t xml:space="preserve"> </w:t>
      </w:r>
      <w:r w:rsidR="007F4028">
        <w:rPr>
          <w:rFonts w:cs="Arial"/>
          <w:color w:val="202A30"/>
          <w:szCs w:val="24"/>
          <w:shd w:val="clear" w:color="auto" w:fill="FFFFFF"/>
        </w:rPr>
        <w:t>–</w:t>
      </w:r>
      <w:r w:rsidR="00CB67E8" w:rsidRPr="007F4028">
        <w:rPr>
          <w:rFonts w:cs="Arial"/>
          <w:color w:val="202A30"/>
          <w:szCs w:val="24"/>
          <w:shd w:val="clear" w:color="auto" w:fill="FFFFFF"/>
        </w:rPr>
        <w:t xml:space="preserve"> £7.1 billion in </w:t>
      </w:r>
      <w:r w:rsidR="00751C5A">
        <w:rPr>
          <w:rFonts w:cs="Arial"/>
          <w:color w:val="202A30"/>
          <w:szCs w:val="24"/>
          <w:shd w:val="clear" w:color="auto" w:fill="FFFFFF"/>
        </w:rPr>
        <w:t>additional cash investment each year by the end of the period</w:t>
      </w:r>
      <w:r w:rsidR="00341310" w:rsidRPr="007F4028">
        <w:rPr>
          <w:rFonts w:cs="Arial"/>
          <w:color w:val="202A30"/>
          <w:szCs w:val="24"/>
          <w:shd w:val="clear" w:color="auto" w:fill="FFFFFF"/>
        </w:rPr>
        <w:t>.</w:t>
      </w:r>
      <w:r w:rsidR="00CB67E8" w:rsidRPr="007F4028">
        <w:rPr>
          <w:rFonts w:cs="Arial"/>
          <w:color w:val="202A30"/>
          <w:szCs w:val="24"/>
          <w:shd w:val="clear" w:color="auto" w:fill="FFFFFF"/>
        </w:rPr>
        <w:t xml:space="preserve"> </w:t>
      </w:r>
    </w:p>
    <w:p w14:paraId="4321A29A" w14:textId="77777777" w:rsidR="000C27A5" w:rsidRPr="000C27A5" w:rsidRDefault="000C27A5" w:rsidP="008879EA">
      <w:pPr>
        <w:pStyle w:val="ListParagraph"/>
        <w:spacing w:line="276" w:lineRule="auto"/>
        <w:ind w:left="567" w:hanging="567"/>
        <w:rPr>
          <w:rFonts w:cs="Arial"/>
          <w:szCs w:val="24"/>
        </w:rPr>
      </w:pPr>
    </w:p>
    <w:p w14:paraId="11C315DA" w14:textId="77777777" w:rsidR="00EA5F2A" w:rsidRPr="00EA5F2A" w:rsidRDefault="00DE642F" w:rsidP="00273EC4">
      <w:pPr>
        <w:pStyle w:val="ListParagraph"/>
        <w:numPr>
          <w:ilvl w:val="1"/>
          <w:numId w:val="1"/>
        </w:numPr>
        <w:spacing w:line="276" w:lineRule="auto"/>
        <w:ind w:left="567" w:hanging="567"/>
        <w:rPr>
          <w:rFonts w:cs="Arial"/>
          <w:szCs w:val="24"/>
        </w:rPr>
      </w:pPr>
      <w:r w:rsidRPr="007D7F29">
        <w:rPr>
          <w:rFonts w:cs="Arial"/>
          <w:b/>
          <w:color w:val="202A30"/>
          <w:szCs w:val="24"/>
          <w:shd w:val="clear" w:color="auto" w:fill="FFFFFF"/>
        </w:rPr>
        <w:t xml:space="preserve">A cornerstone of the new GP contract framework </w:t>
      </w:r>
      <w:r w:rsidR="000C27A5" w:rsidRPr="007D7F29">
        <w:rPr>
          <w:rFonts w:cs="Arial"/>
          <w:b/>
          <w:color w:val="202A30"/>
          <w:szCs w:val="24"/>
          <w:shd w:val="clear" w:color="auto" w:fill="FFFFFF"/>
        </w:rPr>
        <w:t>i</w:t>
      </w:r>
      <w:r w:rsidRPr="007D7F29">
        <w:rPr>
          <w:rFonts w:cs="Arial"/>
          <w:b/>
          <w:color w:val="202A30"/>
          <w:szCs w:val="24"/>
          <w:shd w:val="clear" w:color="auto" w:fill="FFFFFF"/>
        </w:rPr>
        <w:t xml:space="preserve">s the creation of primary care networks (PCNs) through the new Network Contract </w:t>
      </w:r>
      <w:r w:rsidR="00341310">
        <w:rPr>
          <w:rFonts w:cs="Arial"/>
          <w:b/>
          <w:color w:val="202A30"/>
          <w:szCs w:val="24"/>
          <w:shd w:val="clear" w:color="auto" w:fill="FFFFFF"/>
        </w:rPr>
        <w:t xml:space="preserve">DES. </w:t>
      </w:r>
      <w:r w:rsidR="000C27A5" w:rsidRPr="000C27A5">
        <w:rPr>
          <w:rFonts w:cs="Arial"/>
          <w:color w:val="202A30"/>
          <w:szCs w:val="24"/>
          <w:shd w:val="clear" w:color="auto" w:fill="FFFFFF"/>
        </w:rPr>
        <w:t xml:space="preserve">A </w:t>
      </w:r>
      <w:r w:rsidR="002E1672">
        <w:rPr>
          <w:rFonts w:cs="Arial"/>
          <w:color w:val="202A30"/>
          <w:szCs w:val="24"/>
          <w:shd w:val="clear" w:color="auto" w:fill="FFFFFF"/>
        </w:rPr>
        <w:t>PCN</w:t>
      </w:r>
      <w:r w:rsidR="000C27A5" w:rsidRPr="000C27A5">
        <w:rPr>
          <w:rFonts w:cs="Arial"/>
          <w:color w:val="202A30"/>
          <w:szCs w:val="24"/>
          <w:shd w:val="clear" w:color="auto" w:fill="FFFFFF"/>
        </w:rPr>
        <w:t xml:space="preserve"> consists of groups of general practices working together with a range of local providers</w:t>
      </w:r>
      <w:r w:rsidR="000C27A5">
        <w:rPr>
          <w:rFonts w:cs="Arial"/>
          <w:color w:val="202A30"/>
          <w:szCs w:val="24"/>
          <w:shd w:val="clear" w:color="auto" w:fill="FFFFFF"/>
        </w:rPr>
        <w:t xml:space="preserve"> </w:t>
      </w:r>
      <w:r w:rsidR="007F4028">
        <w:rPr>
          <w:rFonts w:cs="Arial"/>
          <w:color w:val="202A30"/>
          <w:szCs w:val="24"/>
          <w:shd w:val="clear" w:color="auto" w:fill="FFFFFF"/>
        </w:rPr>
        <w:t>–</w:t>
      </w:r>
      <w:r w:rsidR="000C27A5" w:rsidRPr="007F4028">
        <w:rPr>
          <w:rFonts w:cs="Arial"/>
          <w:color w:val="202A30"/>
          <w:szCs w:val="24"/>
          <w:shd w:val="clear" w:color="auto" w:fill="FFFFFF"/>
        </w:rPr>
        <w:t xml:space="preserve"> including across primary care, community services, social care and the voluntary sector </w:t>
      </w:r>
      <w:r w:rsidR="007F4028">
        <w:rPr>
          <w:rFonts w:cs="Arial"/>
          <w:color w:val="202A30"/>
          <w:szCs w:val="24"/>
          <w:shd w:val="clear" w:color="auto" w:fill="FFFFFF"/>
        </w:rPr>
        <w:t>–</w:t>
      </w:r>
      <w:r w:rsidR="000C27A5" w:rsidRPr="007F4028">
        <w:rPr>
          <w:rFonts w:cs="Arial"/>
          <w:color w:val="202A30"/>
          <w:szCs w:val="24"/>
          <w:shd w:val="clear" w:color="auto" w:fill="FFFFFF"/>
        </w:rPr>
        <w:t xml:space="preserve"> offering more personalised, coordinated care to their local populations. </w:t>
      </w:r>
      <w:r w:rsidR="0094023F" w:rsidRPr="007F4028">
        <w:rPr>
          <w:rFonts w:cs="Arial"/>
          <w:color w:val="202A30"/>
          <w:szCs w:val="24"/>
          <w:shd w:val="clear" w:color="auto" w:fill="FFFFFF"/>
        </w:rPr>
        <w:t>There has been an enthusiastic response to PCNs across the country: o</w:t>
      </w:r>
      <w:r w:rsidR="000C27A5" w:rsidRPr="007F4028">
        <w:rPr>
          <w:rFonts w:cs="Arial"/>
          <w:color w:val="202A30"/>
          <w:szCs w:val="24"/>
          <w:shd w:val="clear" w:color="auto" w:fill="FFFFFF"/>
        </w:rPr>
        <w:t xml:space="preserve">ver 99% of practices have signed up to </w:t>
      </w:r>
      <w:r w:rsidR="0094023F" w:rsidRPr="007F4028">
        <w:rPr>
          <w:rFonts w:cs="Arial"/>
          <w:color w:val="202A30"/>
          <w:szCs w:val="24"/>
          <w:shd w:val="clear" w:color="auto" w:fill="FFFFFF"/>
        </w:rPr>
        <w:t xml:space="preserve">participating in </w:t>
      </w:r>
      <w:r w:rsidR="006D40BA" w:rsidRPr="007F4028">
        <w:rPr>
          <w:rFonts w:cs="Arial"/>
          <w:color w:val="202A30"/>
          <w:szCs w:val="24"/>
          <w:shd w:val="clear" w:color="auto" w:fill="FFFFFF"/>
        </w:rPr>
        <w:t>around</w:t>
      </w:r>
      <w:r w:rsidR="0094023F" w:rsidRPr="007F4028">
        <w:rPr>
          <w:rFonts w:cs="Arial"/>
          <w:color w:val="202A30"/>
          <w:szCs w:val="24"/>
          <w:shd w:val="clear" w:color="auto" w:fill="FFFFFF"/>
        </w:rPr>
        <w:t xml:space="preserve"> 1,250 networks, </w:t>
      </w:r>
      <w:r w:rsidR="000C27A5" w:rsidRPr="007F4028">
        <w:rPr>
          <w:rFonts w:cs="Arial"/>
          <w:color w:val="202A30"/>
          <w:szCs w:val="24"/>
          <w:shd w:val="clear" w:color="auto" w:fill="FFFFFF"/>
        </w:rPr>
        <w:t xml:space="preserve">firmly establishing PCNs as a </w:t>
      </w:r>
      <w:r w:rsidR="008505D0">
        <w:rPr>
          <w:rFonts w:cs="Arial"/>
          <w:color w:val="202A30"/>
          <w:szCs w:val="24"/>
          <w:shd w:val="clear" w:color="auto" w:fill="FFFFFF"/>
        </w:rPr>
        <w:t>route to greater</w:t>
      </w:r>
      <w:r w:rsidR="000C27A5" w:rsidRPr="007F4028">
        <w:rPr>
          <w:rFonts w:cs="Arial"/>
          <w:color w:val="202A30"/>
          <w:szCs w:val="24"/>
          <w:shd w:val="clear" w:color="auto" w:fill="FFFFFF"/>
        </w:rPr>
        <w:t xml:space="preserve"> collaboration across general practice and the wider NHS.</w:t>
      </w:r>
    </w:p>
    <w:p w14:paraId="042A073E" w14:textId="77777777" w:rsidR="00EA5F2A" w:rsidRPr="00EA5F2A" w:rsidRDefault="00EA5F2A" w:rsidP="007305A1">
      <w:pPr>
        <w:pStyle w:val="ListParagraph"/>
        <w:ind w:left="567" w:hanging="567"/>
        <w:rPr>
          <w:rFonts w:cs="Arial"/>
          <w:color w:val="202A30"/>
          <w:szCs w:val="24"/>
          <w:shd w:val="clear" w:color="auto" w:fill="FFFFFF"/>
        </w:rPr>
      </w:pPr>
    </w:p>
    <w:p w14:paraId="18E0CD9A" w14:textId="27348FB8" w:rsidR="00EA5F2A" w:rsidRPr="00EA5F2A" w:rsidRDefault="006B7CD7" w:rsidP="00273EC4">
      <w:pPr>
        <w:pStyle w:val="ListParagraph"/>
        <w:numPr>
          <w:ilvl w:val="1"/>
          <w:numId w:val="1"/>
        </w:numPr>
        <w:spacing w:line="276" w:lineRule="auto"/>
        <w:ind w:left="567" w:hanging="567"/>
        <w:rPr>
          <w:rFonts w:cs="Arial"/>
          <w:szCs w:val="24"/>
        </w:rPr>
      </w:pPr>
      <w:r w:rsidRPr="00EA5F2A">
        <w:rPr>
          <w:rFonts w:cs="Arial"/>
          <w:color w:val="202A30"/>
          <w:szCs w:val="24"/>
          <w:shd w:val="clear" w:color="auto" w:fill="FFFFFF"/>
        </w:rPr>
        <w:t xml:space="preserve">The GP contract framework set out seven national services specifications that will be added to the Network Contract DES: five starting from April 2020, and a further two from April 2021. </w:t>
      </w:r>
      <w:r w:rsidRPr="00EA5F2A">
        <w:rPr>
          <w:rFonts w:cs="Arial"/>
          <w:b/>
          <w:color w:val="202A30"/>
          <w:szCs w:val="24"/>
          <w:shd w:val="clear" w:color="auto" w:fill="FFFFFF"/>
        </w:rPr>
        <w:t>Th</w:t>
      </w:r>
      <w:r w:rsidR="00CB6244" w:rsidRPr="00EA5F2A">
        <w:rPr>
          <w:rFonts w:cs="Arial"/>
          <w:b/>
          <w:color w:val="202A30"/>
          <w:szCs w:val="24"/>
          <w:shd w:val="clear" w:color="auto" w:fill="FFFFFF"/>
        </w:rPr>
        <w:t xml:space="preserve">e purpose of this </w:t>
      </w:r>
      <w:r w:rsidRPr="00EA5F2A">
        <w:rPr>
          <w:rFonts w:cs="Arial"/>
          <w:b/>
          <w:color w:val="202A30"/>
          <w:szCs w:val="24"/>
          <w:shd w:val="clear" w:color="auto" w:fill="FFFFFF"/>
        </w:rPr>
        <w:t xml:space="preserve">document </w:t>
      </w:r>
      <w:r w:rsidR="00CB6244" w:rsidRPr="00EA5F2A">
        <w:rPr>
          <w:rFonts w:cs="Arial"/>
          <w:b/>
          <w:color w:val="202A30"/>
          <w:szCs w:val="24"/>
          <w:shd w:val="clear" w:color="auto" w:fill="FFFFFF"/>
        </w:rPr>
        <w:t xml:space="preserve">is to </w:t>
      </w:r>
      <w:r w:rsidRPr="00EA5F2A">
        <w:rPr>
          <w:rFonts w:cs="Arial"/>
          <w:b/>
          <w:color w:val="202A30"/>
          <w:szCs w:val="24"/>
          <w:shd w:val="clear" w:color="auto" w:fill="FFFFFF"/>
        </w:rPr>
        <w:t>provide PCNs, community services providers, wider system partners and the public with further detail of – and seek views on – the draft outline requirements for the first five services, as well as how we plan to phase and support implementation.</w:t>
      </w:r>
      <w:r w:rsidR="00751C5A" w:rsidRPr="00EA5F2A">
        <w:rPr>
          <w:rFonts w:cs="Arial"/>
          <w:b/>
          <w:color w:val="202A30"/>
          <w:szCs w:val="24"/>
          <w:shd w:val="clear" w:color="auto" w:fill="FFFFFF"/>
        </w:rPr>
        <w:t xml:space="preserve"> </w:t>
      </w:r>
      <w:r w:rsidR="002E1672" w:rsidRPr="00EA5F2A">
        <w:rPr>
          <w:rFonts w:cs="Arial"/>
          <w:b/>
          <w:color w:val="202A30"/>
          <w:szCs w:val="24"/>
          <w:shd w:val="clear" w:color="auto" w:fill="FFFFFF"/>
        </w:rPr>
        <w:t>Feedback we receive</w:t>
      </w:r>
      <w:r w:rsidR="00751C5A" w:rsidRPr="00EA5F2A">
        <w:rPr>
          <w:rFonts w:cs="Arial"/>
          <w:b/>
          <w:color w:val="202A30"/>
          <w:szCs w:val="24"/>
          <w:shd w:val="clear" w:color="auto" w:fill="FFFFFF"/>
        </w:rPr>
        <w:t xml:space="preserve"> will shape the final version of the </w:t>
      </w:r>
      <w:r w:rsidR="002E1672" w:rsidRPr="00EA5F2A">
        <w:rPr>
          <w:rFonts w:cs="Arial"/>
          <w:b/>
          <w:color w:val="202A30"/>
          <w:szCs w:val="24"/>
          <w:shd w:val="clear" w:color="auto" w:fill="FFFFFF"/>
        </w:rPr>
        <w:t>service requirements</w:t>
      </w:r>
      <w:r w:rsidR="00751C5A" w:rsidRPr="00EA5F2A">
        <w:rPr>
          <w:rFonts w:cs="Arial"/>
          <w:b/>
          <w:color w:val="202A30"/>
          <w:szCs w:val="24"/>
          <w:shd w:val="clear" w:color="auto" w:fill="FFFFFF"/>
        </w:rPr>
        <w:t xml:space="preserve"> for 2019/20</w:t>
      </w:r>
      <w:r w:rsidR="002E1672" w:rsidRPr="00EA5F2A">
        <w:rPr>
          <w:rFonts w:cs="Arial"/>
          <w:b/>
          <w:color w:val="202A30"/>
          <w:szCs w:val="24"/>
          <w:shd w:val="clear" w:color="auto" w:fill="FFFFFF"/>
        </w:rPr>
        <w:t xml:space="preserve">, </w:t>
      </w:r>
      <w:r w:rsidR="004C7BD3" w:rsidRPr="00EA5F2A">
        <w:rPr>
          <w:rFonts w:cs="Arial"/>
          <w:b/>
          <w:color w:val="202A30"/>
          <w:szCs w:val="24"/>
          <w:shd w:val="clear" w:color="auto" w:fill="FFFFFF"/>
        </w:rPr>
        <w:t>as well as</w:t>
      </w:r>
      <w:r w:rsidR="002E1672" w:rsidRPr="00EA5F2A">
        <w:rPr>
          <w:rFonts w:cs="Arial"/>
          <w:b/>
          <w:color w:val="202A30"/>
          <w:szCs w:val="24"/>
          <w:shd w:val="clear" w:color="auto" w:fill="FFFFFF"/>
        </w:rPr>
        <w:t xml:space="preserve"> </w:t>
      </w:r>
      <w:r w:rsidR="004C7BD3" w:rsidRPr="00EA5F2A">
        <w:rPr>
          <w:rFonts w:cs="Arial"/>
          <w:b/>
          <w:color w:val="202A30"/>
          <w:szCs w:val="24"/>
          <w:shd w:val="clear" w:color="auto" w:fill="FFFFFF"/>
        </w:rPr>
        <w:t xml:space="preserve">guidance for </w:t>
      </w:r>
      <w:r w:rsidR="002E1672" w:rsidRPr="00EA5F2A">
        <w:rPr>
          <w:rFonts w:cs="Arial"/>
          <w:b/>
          <w:color w:val="202A30"/>
          <w:szCs w:val="24"/>
          <w:shd w:val="clear" w:color="auto" w:fill="FFFFFF"/>
        </w:rPr>
        <w:t>implementation</w:t>
      </w:r>
      <w:r w:rsidR="00751C5A" w:rsidRPr="00EA5F2A">
        <w:rPr>
          <w:rFonts w:cs="Arial"/>
          <w:b/>
          <w:color w:val="202A30"/>
          <w:szCs w:val="24"/>
          <w:shd w:val="clear" w:color="auto" w:fill="FFFFFF"/>
        </w:rPr>
        <w:t>.</w:t>
      </w:r>
      <w:r w:rsidRPr="00EA5F2A">
        <w:rPr>
          <w:rFonts w:cs="Arial"/>
          <w:b/>
          <w:color w:val="202A30"/>
          <w:szCs w:val="24"/>
          <w:shd w:val="clear" w:color="auto" w:fill="FFFFFF"/>
        </w:rPr>
        <w:t xml:space="preserve"> The five services are:</w:t>
      </w:r>
    </w:p>
    <w:p w14:paraId="3DE6C311" w14:textId="352C2459" w:rsidR="00EA5F2A" w:rsidRDefault="00EA5F2A" w:rsidP="007305A1">
      <w:pPr>
        <w:pStyle w:val="ListParagraph"/>
        <w:ind w:left="567" w:hanging="567"/>
        <w:rPr>
          <w:rFonts w:cs="Arial"/>
          <w:szCs w:val="24"/>
        </w:rPr>
      </w:pPr>
    </w:p>
    <w:p w14:paraId="6124137B"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Structured Medication Reviews and Optimisation</w:t>
      </w:r>
    </w:p>
    <w:p w14:paraId="400C3BA9"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Enhanced Health in Care Homes (jointly with community services providers)</w:t>
      </w:r>
    </w:p>
    <w:p w14:paraId="3059A467"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Anticipatory Care (jointly with community services providers)</w:t>
      </w:r>
    </w:p>
    <w:p w14:paraId="7A04CD5E"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Personalised Care; and</w:t>
      </w:r>
    </w:p>
    <w:p w14:paraId="25479A11"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Supporting Early Cancer Diagnosis</w:t>
      </w:r>
    </w:p>
    <w:p w14:paraId="797B27C5" w14:textId="04B1AEAD" w:rsidR="00EA5F2A" w:rsidRDefault="00EA5F2A" w:rsidP="007305A1">
      <w:pPr>
        <w:pStyle w:val="ListParagraph"/>
        <w:ind w:left="567" w:hanging="567"/>
        <w:rPr>
          <w:rFonts w:cs="Arial"/>
          <w:szCs w:val="24"/>
        </w:rPr>
      </w:pPr>
    </w:p>
    <w:p w14:paraId="2F86CAF0" w14:textId="77777777" w:rsidR="00EA5F2A" w:rsidRPr="00EA5F2A" w:rsidRDefault="00EA5F2A" w:rsidP="007305A1">
      <w:pPr>
        <w:pStyle w:val="ListParagraph"/>
        <w:ind w:left="567" w:hanging="567"/>
        <w:rPr>
          <w:rFonts w:cs="Arial"/>
          <w:szCs w:val="24"/>
        </w:rPr>
      </w:pPr>
    </w:p>
    <w:p w14:paraId="4E0EA725" w14:textId="1BE5BEB3" w:rsidR="00EA5F2A" w:rsidRDefault="00B77637" w:rsidP="00273EC4">
      <w:pPr>
        <w:pStyle w:val="ListParagraph"/>
        <w:numPr>
          <w:ilvl w:val="1"/>
          <w:numId w:val="1"/>
        </w:numPr>
        <w:spacing w:line="276" w:lineRule="auto"/>
        <w:ind w:left="567" w:hanging="567"/>
        <w:rPr>
          <w:rFonts w:cs="Arial"/>
          <w:b/>
          <w:color w:val="202A30"/>
          <w:szCs w:val="24"/>
          <w:shd w:val="clear" w:color="auto" w:fill="FFFFFF"/>
        </w:rPr>
      </w:pPr>
      <w:r w:rsidRPr="00DB181C">
        <w:rPr>
          <w:rFonts w:cs="Arial"/>
          <w:b/>
          <w:color w:val="202A30"/>
          <w:szCs w:val="24"/>
          <w:shd w:val="clear" w:color="auto" w:fill="FFFFFF"/>
        </w:rPr>
        <w:t>We recognise that PCNs are at the early stages of development and capacity-building</w:t>
      </w:r>
      <w:r w:rsidRPr="00DB181C">
        <w:rPr>
          <w:rFonts w:cs="Arial"/>
          <w:color w:val="202A30"/>
          <w:szCs w:val="24"/>
          <w:shd w:val="clear" w:color="auto" w:fill="FFFFFF"/>
        </w:rPr>
        <w:t xml:space="preserve">, and that there are concerns about limiting their chances of success by overburdening them at an early stage with unrealistic expectations for new service delivery. We </w:t>
      </w:r>
      <w:r w:rsidR="00E332CD" w:rsidRPr="00DB181C">
        <w:rPr>
          <w:rFonts w:cs="Arial"/>
          <w:color w:val="202A30"/>
          <w:szCs w:val="24"/>
          <w:shd w:val="clear" w:color="auto" w:fill="FFFFFF"/>
        </w:rPr>
        <w:t xml:space="preserve">therefore propose to </w:t>
      </w:r>
      <w:r w:rsidR="00E332CD" w:rsidRPr="00DB181C">
        <w:rPr>
          <w:rFonts w:cs="Arial"/>
          <w:b/>
          <w:color w:val="202A30"/>
          <w:szCs w:val="24"/>
          <w:shd w:val="clear" w:color="auto" w:fill="FFFFFF"/>
        </w:rPr>
        <w:t>phase</w:t>
      </w:r>
      <w:r w:rsidR="00676FEC" w:rsidRPr="00DB181C">
        <w:rPr>
          <w:rFonts w:cs="Arial"/>
          <w:b/>
          <w:color w:val="202A30"/>
          <w:szCs w:val="24"/>
          <w:shd w:val="clear" w:color="auto" w:fill="FFFFFF"/>
        </w:rPr>
        <w:t>-</w:t>
      </w:r>
      <w:r w:rsidR="00E332CD" w:rsidRPr="00DB181C">
        <w:rPr>
          <w:rFonts w:cs="Arial"/>
          <w:b/>
          <w:color w:val="202A30"/>
          <w:szCs w:val="24"/>
          <w:shd w:val="clear" w:color="auto" w:fill="FFFFFF"/>
        </w:rPr>
        <w:t>in service requirements</w:t>
      </w:r>
      <w:r w:rsidR="00E332CD" w:rsidRPr="00DB181C">
        <w:rPr>
          <w:rFonts w:cs="Arial"/>
          <w:color w:val="202A30"/>
          <w:szCs w:val="24"/>
          <w:shd w:val="clear" w:color="auto" w:fill="FFFFFF"/>
        </w:rPr>
        <w:t xml:space="preserve"> in a way that is commensurate with the </w:t>
      </w:r>
      <w:r w:rsidRPr="00DB181C">
        <w:rPr>
          <w:rFonts w:cs="Arial"/>
          <w:color w:val="202A30"/>
          <w:szCs w:val="24"/>
          <w:shd w:val="clear" w:color="auto" w:fill="FFFFFF"/>
        </w:rPr>
        <w:t xml:space="preserve">capacity </w:t>
      </w:r>
      <w:r w:rsidR="00E332CD" w:rsidRPr="00DB181C">
        <w:rPr>
          <w:rFonts w:cs="Arial"/>
          <w:color w:val="202A30"/>
          <w:szCs w:val="24"/>
          <w:shd w:val="clear" w:color="auto" w:fill="FFFFFF"/>
        </w:rPr>
        <w:t xml:space="preserve">available to PCNs through the </w:t>
      </w:r>
      <w:r w:rsidRPr="00DB181C">
        <w:rPr>
          <w:rFonts w:cs="Arial"/>
          <w:color w:val="202A30"/>
          <w:szCs w:val="24"/>
          <w:shd w:val="clear" w:color="auto" w:fill="FFFFFF"/>
        </w:rPr>
        <w:t xml:space="preserve">contract and </w:t>
      </w:r>
      <w:r w:rsidR="00E332CD" w:rsidRPr="00DB181C">
        <w:rPr>
          <w:rFonts w:cs="Arial"/>
          <w:color w:val="202A30"/>
          <w:szCs w:val="24"/>
          <w:shd w:val="clear" w:color="auto" w:fill="FFFFFF"/>
        </w:rPr>
        <w:t xml:space="preserve">the support available through </w:t>
      </w:r>
      <w:r w:rsidRPr="00DB181C">
        <w:rPr>
          <w:rFonts w:cs="Arial"/>
          <w:color w:val="202A30"/>
          <w:szCs w:val="24"/>
          <w:shd w:val="clear" w:color="auto" w:fill="FFFFFF"/>
        </w:rPr>
        <w:t xml:space="preserve">wider system. </w:t>
      </w:r>
      <w:r w:rsidR="00374431" w:rsidRPr="008961E1">
        <w:rPr>
          <w:rFonts w:cs="Arial"/>
          <w:color w:val="202A30"/>
          <w:szCs w:val="24"/>
          <w:shd w:val="clear" w:color="auto" w:fill="FFFFFF"/>
        </w:rPr>
        <w:t xml:space="preserve">Though a combination of </w:t>
      </w:r>
      <w:r w:rsidR="00E332CD" w:rsidRPr="008961E1">
        <w:rPr>
          <w:rFonts w:cs="Arial"/>
          <w:color w:val="202A30"/>
          <w:szCs w:val="24"/>
          <w:shd w:val="clear" w:color="auto" w:fill="FFFFFF"/>
        </w:rPr>
        <w:t xml:space="preserve">the additional workforce </w:t>
      </w:r>
      <w:r w:rsidR="00374431" w:rsidRPr="008961E1">
        <w:rPr>
          <w:rFonts w:cs="Arial"/>
          <w:color w:val="202A30"/>
          <w:szCs w:val="24"/>
          <w:shd w:val="clear" w:color="auto" w:fill="FFFFFF"/>
        </w:rPr>
        <w:t xml:space="preserve">capacity </w:t>
      </w:r>
      <w:r w:rsidR="00E332CD" w:rsidRPr="008961E1">
        <w:rPr>
          <w:rFonts w:cs="Arial"/>
          <w:color w:val="202A30"/>
          <w:szCs w:val="24"/>
          <w:shd w:val="clear" w:color="auto" w:fill="FFFFFF"/>
        </w:rPr>
        <w:t xml:space="preserve">within primary care, and the redesign of community services provision to link with and support PCNs, </w:t>
      </w:r>
      <w:r w:rsidR="00191253" w:rsidRPr="008961E1">
        <w:rPr>
          <w:rFonts w:cs="Arial"/>
          <w:b/>
          <w:color w:val="202A30"/>
          <w:szCs w:val="24"/>
          <w:shd w:val="clear" w:color="auto" w:fill="FFFFFF"/>
        </w:rPr>
        <w:t xml:space="preserve">we expect the Network Contract DES </w:t>
      </w:r>
      <w:r w:rsidR="008505D0" w:rsidRPr="008961E1">
        <w:rPr>
          <w:rFonts w:cs="Arial"/>
          <w:b/>
          <w:color w:val="202A30"/>
          <w:szCs w:val="24"/>
          <w:shd w:val="clear" w:color="auto" w:fill="FFFFFF"/>
        </w:rPr>
        <w:t xml:space="preserve">both </w:t>
      </w:r>
      <w:r w:rsidR="00191253" w:rsidRPr="008961E1">
        <w:rPr>
          <w:rFonts w:cs="Arial"/>
          <w:b/>
          <w:color w:val="202A30"/>
          <w:szCs w:val="24"/>
          <w:shd w:val="clear" w:color="auto" w:fill="FFFFFF"/>
        </w:rPr>
        <w:t xml:space="preserve">to reduce workload pressures on GPs and support improved primary care services to patients. </w:t>
      </w:r>
      <w:r w:rsidR="00E332CD" w:rsidRPr="008961E1">
        <w:rPr>
          <w:rFonts w:cs="Arial"/>
          <w:b/>
          <w:color w:val="202A30"/>
          <w:szCs w:val="24"/>
          <w:shd w:val="clear" w:color="auto" w:fill="FFFFFF"/>
        </w:rPr>
        <w:t xml:space="preserve"> </w:t>
      </w:r>
    </w:p>
    <w:p w14:paraId="57D18DC7" w14:textId="77777777" w:rsidR="008961E1" w:rsidRDefault="008961E1" w:rsidP="00273EC4">
      <w:pPr>
        <w:pStyle w:val="ListParagraph"/>
        <w:spacing w:line="276" w:lineRule="auto"/>
        <w:ind w:left="567" w:hanging="567"/>
        <w:rPr>
          <w:rFonts w:cs="Arial"/>
          <w:b/>
          <w:color w:val="202A30"/>
          <w:szCs w:val="24"/>
          <w:shd w:val="clear" w:color="auto" w:fill="FFFFFF"/>
        </w:rPr>
      </w:pPr>
    </w:p>
    <w:p w14:paraId="0143AA37" w14:textId="1D38EBD7" w:rsidR="008961E1" w:rsidRPr="008961E1" w:rsidRDefault="008961E1" w:rsidP="00273EC4">
      <w:pPr>
        <w:pStyle w:val="ListParagraph"/>
        <w:numPr>
          <w:ilvl w:val="1"/>
          <w:numId w:val="1"/>
        </w:numPr>
        <w:spacing w:line="276" w:lineRule="auto"/>
        <w:ind w:left="567" w:hanging="567"/>
        <w:rPr>
          <w:rFonts w:cs="Arial"/>
          <w:b/>
          <w:color w:val="202A30"/>
          <w:szCs w:val="24"/>
          <w:shd w:val="clear" w:color="auto" w:fill="FFFFFF"/>
        </w:rPr>
      </w:pPr>
      <w:r w:rsidRPr="007077C8">
        <w:rPr>
          <w:rFonts w:cs="Arial"/>
          <w:b/>
          <w:color w:val="202A30"/>
          <w:szCs w:val="24"/>
          <w:shd w:val="clear" w:color="auto" w:fill="FFFFFF"/>
        </w:rPr>
        <w:t>The new PCN service specifications are only one part of the wider GP Contract package.</w:t>
      </w:r>
      <w:r>
        <w:rPr>
          <w:rFonts w:cs="Arial"/>
          <w:color w:val="202A30"/>
          <w:szCs w:val="24"/>
          <w:shd w:val="clear" w:color="auto" w:fill="FFFFFF"/>
        </w:rPr>
        <w:t xml:space="preserve"> No decisions will be made on individual aspects of the Network DES and the core Practice Contract without considering all aspects in the round.  </w:t>
      </w:r>
    </w:p>
    <w:p w14:paraId="2F97B13B" w14:textId="13CC6326" w:rsidR="00EA5F2A" w:rsidRDefault="00EA5F2A" w:rsidP="007305A1">
      <w:pPr>
        <w:pStyle w:val="ListParagraph"/>
        <w:ind w:left="567" w:hanging="567"/>
        <w:rPr>
          <w:rFonts w:cs="Arial"/>
          <w:b/>
          <w:color w:val="202A30"/>
          <w:szCs w:val="24"/>
          <w:shd w:val="clear" w:color="auto" w:fill="FFFFFF"/>
        </w:rPr>
      </w:pPr>
    </w:p>
    <w:p w14:paraId="19515C8D" w14:textId="77777777" w:rsidR="00EA5F2A" w:rsidRDefault="00EA5F2A" w:rsidP="007305A1">
      <w:pPr>
        <w:spacing w:after="0" w:line="276" w:lineRule="auto"/>
        <w:ind w:left="567" w:hanging="567"/>
        <w:rPr>
          <w:rFonts w:cs="Arial"/>
          <w:i/>
          <w:szCs w:val="24"/>
        </w:rPr>
      </w:pPr>
      <w:r>
        <w:rPr>
          <w:rFonts w:cs="Arial"/>
          <w:i/>
          <w:szCs w:val="24"/>
        </w:rPr>
        <w:t>Developing the outline service specifications</w:t>
      </w:r>
    </w:p>
    <w:p w14:paraId="2881DEE9" w14:textId="77777777" w:rsidR="00EA5F2A" w:rsidRPr="00EA5F2A" w:rsidRDefault="00EA5F2A" w:rsidP="007305A1">
      <w:pPr>
        <w:pStyle w:val="ListParagraph"/>
        <w:ind w:left="567" w:hanging="567"/>
        <w:rPr>
          <w:rFonts w:cs="Arial"/>
          <w:b/>
          <w:color w:val="202A30"/>
          <w:szCs w:val="24"/>
          <w:shd w:val="clear" w:color="auto" w:fill="FFFFFF"/>
        </w:rPr>
      </w:pPr>
    </w:p>
    <w:p w14:paraId="2FAB5C10" w14:textId="36D9CD87" w:rsidR="00714310" w:rsidRPr="00EA5F2A" w:rsidRDefault="00FE2667" w:rsidP="007305A1">
      <w:pPr>
        <w:pStyle w:val="ListParagraph"/>
        <w:numPr>
          <w:ilvl w:val="1"/>
          <w:numId w:val="45"/>
        </w:numPr>
        <w:ind w:left="567" w:hanging="567"/>
        <w:rPr>
          <w:rFonts w:cs="Arial"/>
          <w:b/>
          <w:color w:val="202A30"/>
          <w:szCs w:val="24"/>
          <w:shd w:val="clear" w:color="auto" w:fill="FFFFFF"/>
        </w:rPr>
      </w:pPr>
      <w:r w:rsidRPr="00EA5F2A">
        <w:rPr>
          <w:rFonts w:cs="Arial"/>
          <w:b/>
          <w:color w:val="202A30"/>
          <w:szCs w:val="24"/>
          <w:shd w:val="clear" w:color="auto" w:fill="FFFFFF"/>
        </w:rPr>
        <w:t>NHS England and NHS Improvement (NHSE/I) has undertaken a wide-ranging process of evidence</w:t>
      </w:r>
      <w:r w:rsidR="00920DEC" w:rsidRPr="00EA5F2A">
        <w:rPr>
          <w:rFonts w:cs="Arial"/>
          <w:b/>
          <w:color w:val="202A30"/>
          <w:szCs w:val="24"/>
          <w:shd w:val="clear" w:color="auto" w:fill="FFFFFF"/>
        </w:rPr>
        <w:t>-</w:t>
      </w:r>
      <w:r w:rsidRPr="00EA5F2A">
        <w:rPr>
          <w:rFonts w:cs="Arial"/>
          <w:b/>
          <w:color w:val="202A30"/>
          <w:szCs w:val="24"/>
          <w:shd w:val="clear" w:color="auto" w:fill="FFFFFF"/>
        </w:rPr>
        <w:t xml:space="preserve">gathering and engagement </w:t>
      </w:r>
      <w:proofErr w:type="gramStart"/>
      <w:r w:rsidRPr="00EA5F2A">
        <w:rPr>
          <w:rFonts w:cs="Arial"/>
          <w:b/>
          <w:color w:val="202A30"/>
          <w:szCs w:val="24"/>
          <w:shd w:val="clear" w:color="auto" w:fill="FFFFFF"/>
        </w:rPr>
        <w:t>in order to</w:t>
      </w:r>
      <w:proofErr w:type="gramEnd"/>
      <w:r w:rsidRPr="00EA5F2A">
        <w:rPr>
          <w:rFonts w:cs="Arial"/>
          <w:b/>
          <w:color w:val="202A30"/>
          <w:szCs w:val="24"/>
          <w:shd w:val="clear" w:color="auto" w:fill="FFFFFF"/>
        </w:rPr>
        <w:t xml:space="preserve"> inform the</w:t>
      </w:r>
      <w:r w:rsidR="002D043D" w:rsidRPr="00EA5F2A">
        <w:rPr>
          <w:rFonts w:cs="Arial"/>
          <w:b/>
          <w:color w:val="202A30"/>
          <w:szCs w:val="24"/>
          <w:shd w:val="clear" w:color="auto" w:fill="FFFFFF"/>
        </w:rPr>
        <w:t>se</w:t>
      </w:r>
      <w:r w:rsidRPr="00EA5F2A">
        <w:rPr>
          <w:rFonts w:cs="Arial"/>
          <w:b/>
          <w:color w:val="202A30"/>
          <w:szCs w:val="24"/>
          <w:shd w:val="clear" w:color="auto" w:fill="FFFFFF"/>
        </w:rPr>
        <w:t xml:space="preserve"> outline service specifications.</w:t>
      </w:r>
      <w:r w:rsidRPr="00EA5F2A">
        <w:rPr>
          <w:rFonts w:cs="Arial"/>
          <w:color w:val="202A30"/>
          <w:szCs w:val="24"/>
          <w:shd w:val="clear" w:color="auto" w:fill="FFFFFF"/>
        </w:rPr>
        <w:t xml:space="preserve"> This has included conven</w:t>
      </w:r>
      <w:r w:rsidR="008D53CA" w:rsidRPr="00EA5F2A">
        <w:rPr>
          <w:rFonts w:cs="Arial"/>
          <w:color w:val="202A30"/>
          <w:szCs w:val="24"/>
          <w:shd w:val="clear" w:color="auto" w:fill="FFFFFF"/>
        </w:rPr>
        <w:t>ing</w:t>
      </w:r>
      <w:r w:rsidRPr="00EA5F2A">
        <w:rPr>
          <w:rFonts w:cs="Arial"/>
          <w:color w:val="202A30"/>
          <w:szCs w:val="24"/>
          <w:shd w:val="clear" w:color="auto" w:fill="FFFFFF"/>
        </w:rPr>
        <w:t xml:space="preserve"> expert working groups for each of the five specifications, with representation from </w:t>
      </w:r>
      <w:r w:rsidR="00EB6140" w:rsidRPr="00EA5F2A">
        <w:rPr>
          <w:rFonts w:cs="Arial"/>
          <w:color w:val="202A30"/>
          <w:szCs w:val="24"/>
          <w:shd w:val="clear" w:color="auto" w:fill="FFFFFF"/>
        </w:rPr>
        <w:t xml:space="preserve">patients, </w:t>
      </w:r>
      <w:r w:rsidR="00751C5A" w:rsidRPr="00EA5F2A">
        <w:rPr>
          <w:rFonts w:cs="Arial"/>
          <w:color w:val="202A30"/>
          <w:szCs w:val="24"/>
          <w:shd w:val="clear" w:color="auto" w:fill="FFFFFF"/>
        </w:rPr>
        <w:t xml:space="preserve">working GPs and other clinicians, </w:t>
      </w:r>
      <w:r w:rsidR="00EB6140" w:rsidRPr="00EA5F2A">
        <w:rPr>
          <w:rFonts w:cs="Arial"/>
          <w:color w:val="202A30"/>
          <w:szCs w:val="24"/>
          <w:shd w:val="clear" w:color="auto" w:fill="FFFFFF"/>
        </w:rPr>
        <w:t xml:space="preserve">voluntary sector organisations (such as Cancer Research UK, Macmillan, and Age UK), NHS Providers Community Network, Local Government Association, commissioners, </w:t>
      </w:r>
      <w:r w:rsidRPr="00EA5F2A">
        <w:rPr>
          <w:rFonts w:cs="Arial"/>
          <w:color w:val="202A30"/>
          <w:szCs w:val="24"/>
          <w:shd w:val="clear" w:color="auto" w:fill="FFFFFF"/>
        </w:rPr>
        <w:t>Royal College of General Practitioners,</w:t>
      </w:r>
      <w:r w:rsidR="00E60901">
        <w:rPr>
          <w:rFonts w:cs="Arial"/>
          <w:color w:val="202A30"/>
          <w:szCs w:val="24"/>
          <w:shd w:val="clear" w:color="auto" w:fill="FFFFFF"/>
        </w:rPr>
        <w:t xml:space="preserve"> Public Health England</w:t>
      </w:r>
      <w:r w:rsidR="00EB6140" w:rsidRPr="00EA5F2A">
        <w:rPr>
          <w:rFonts w:cs="Arial"/>
          <w:color w:val="202A30"/>
          <w:szCs w:val="24"/>
          <w:shd w:val="clear" w:color="auto" w:fill="FFFFFF"/>
        </w:rPr>
        <w:t xml:space="preserve"> and</w:t>
      </w:r>
      <w:r w:rsidRPr="00EA5F2A">
        <w:rPr>
          <w:rFonts w:cs="Arial"/>
          <w:color w:val="202A30"/>
          <w:szCs w:val="24"/>
          <w:shd w:val="clear" w:color="auto" w:fill="FFFFFF"/>
        </w:rPr>
        <w:t xml:space="preserve"> </w:t>
      </w:r>
      <w:r w:rsidR="00EB6140" w:rsidRPr="00EA5F2A">
        <w:rPr>
          <w:rFonts w:cs="Arial"/>
          <w:color w:val="202A30"/>
          <w:szCs w:val="24"/>
          <w:shd w:val="clear" w:color="auto" w:fill="FFFFFF"/>
        </w:rPr>
        <w:t>the British Medical Association</w:t>
      </w:r>
      <w:r w:rsidRPr="00EA5F2A">
        <w:rPr>
          <w:rFonts w:cs="Arial"/>
          <w:color w:val="202A30"/>
          <w:szCs w:val="24"/>
          <w:shd w:val="clear" w:color="auto" w:fill="FFFFFF"/>
        </w:rPr>
        <w:t xml:space="preserve">. The input from these groups has been invaluable </w:t>
      </w:r>
      <w:r w:rsidR="00493F8D" w:rsidRPr="00EA5F2A">
        <w:rPr>
          <w:rFonts w:cs="Arial"/>
          <w:color w:val="202A30"/>
          <w:szCs w:val="24"/>
          <w:shd w:val="clear" w:color="auto" w:fill="FFFFFF"/>
        </w:rPr>
        <w:t xml:space="preserve">in shaping </w:t>
      </w:r>
      <w:r w:rsidRPr="00EA5F2A">
        <w:rPr>
          <w:rFonts w:cs="Arial"/>
          <w:color w:val="202A30"/>
          <w:szCs w:val="24"/>
          <w:shd w:val="clear" w:color="auto" w:fill="FFFFFF"/>
        </w:rPr>
        <w:t>the</w:t>
      </w:r>
      <w:r w:rsidR="00493F8D" w:rsidRPr="00EA5F2A">
        <w:rPr>
          <w:rFonts w:cs="Arial"/>
          <w:color w:val="202A30"/>
          <w:szCs w:val="24"/>
          <w:shd w:val="clear" w:color="auto" w:fill="FFFFFF"/>
        </w:rPr>
        <w:t>se</w:t>
      </w:r>
      <w:r w:rsidRPr="00EA5F2A">
        <w:rPr>
          <w:rFonts w:cs="Arial"/>
          <w:color w:val="202A30"/>
          <w:szCs w:val="24"/>
          <w:shd w:val="clear" w:color="auto" w:fill="FFFFFF"/>
        </w:rPr>
        <w:t xml:space="preserve"> proposals. </w:t>
      </w:r>
    </w:p>
    <w:p w14:paraId="47307AF6" w14:textId="77777777" w:rsidR="00714310" w:rsidRPr="00714310" w:rsidRDefault="00714310" w:rsidP="007305A1">
      <w:pPr>
        <w:pStyle w:val="ListParagraph"/>
        <w:spacing w:line="276" w:lineRule="auto"/>
        <w:ind w:left="567" w:hanging="567"/>
        <w:rPr>
          <w:rFonts w:cs="Arial"/>
          <w:szCs w:val="24"/>
        </w:rPr>
      </w:pPr>
    </w:p>
    <w:p w14:paraId="1124A9D4" w14:textId="77777777" w:rsidR="00714310" w:rsidRPr="00714310" w:rsidRDefault="002C6F0B" w:rsidP="007305A1">
      <w:pPr>
        <w:pStyle w:val="ListParagraph"/>
        <w:numPr>
          <w:ilvl w:val="1"/>
          <w:numId w:val="45"/>
        </w:numPr>
        <w:spacing w:line="276" w:lineRule="auto"/>
        <w:ind w:left="567" w:hanging="567"/>
        <w:rPr>
          <w:rFonts w:cs="Arial"/>
          <w:szCs w:val="24"/>
        </w:rPr>
      </w:pPr>
      <w:proofErr w:type="gramStart"/>
      <w:r w:rsidRPr="00714310">
        <w:rPr>
          <w:rFonts w:cs="Arial"/>
          <w:color w:val="202A30"/>
          <w:szCs w:val="24"/>
          <w:shd w:val="clear" w:color="auto" w:fill="FFFFFF"/>
        </w:rPr>
        <w:t>As a result of</w:t>
      </w:r>
      <w:proofErr w:type="gramEnd"/>
      <w:r w:rsidRPr="00714310">
        <w:rPr>
          <w:rFonts w:cs="Arial"/>
          <w:color w:val="202A30"/>
          <w:szCs w:val="24"/>
          <w:shd w:val="clear" w:color="auto" w:fill="FFFFFF"/>
        </w:rPr>
        <w:t xml:space="preserve"> our engagement to date, we are confident that these specifications are supported by </w:t>
      </w:r>
      <w:r w:rsidRPr="00714310">
        <w:rPr>
          <w:rFonts w:cs="Arial"/>
          <w:b/>
          <w:color w:val="202A30"/>
          <w:szCs w:val="24"/>
          <w:shd w:val="clear" w:color="auto" w:fill="FFFFFF"/>
        </w:rPr>
        <w:t>a strong clinical evidence base</w:t>
      </w:r>
      <w:r w:rsidR="004C7BD3" w:rsidRPr="00714310">
        <w:rPr>
          <w:rFonts w:cs="Arial"/>
          <w:b/>
          <w:color w:val="202A30"/>
          <w:szCs w:val="24"/>
          <w:shd w:val="clear" w:color="auto" w:fill="FFFFFF"/>
        </w:rPr>
        <w:t xml:space="preserve"> </w:t>
      </w:r>
      <w:r w:rsidR="008505D0" w:rsidRPr="00714310">
        <w:rPr>
          <w:rFonts w:cs="Arial"/>
          <w:color w:val="202A30"/>
          <w:szCs w:val="24"/>
          <w:shd w:val="clear" w:color="auto" w:fill="FFFFFF"/>
        </w:rPr>
        <w:t xml:space="preserve">and </w:t>
      </w:r>
      <w:r w:rsidRPr="00714310">
        <w:rPr>
          <w:rFonts w:cs="Arial"/>
          <w:color w:val="202A30"/>
          <w:szCs w:val="24"/>
          <w:shd w:val="clear" w:color="auto" w:fill="FFFFFF"/>
        </w:rPr>
        <w:t>will enable PCNs to draw upon the partnerships with other providers that are at the heart of the network philosophy</w:t>
      </w:r>
      <w:r w:rsidRPr="00714310">
        <w:rPr>
          <w:rFonts w:cs="Arial"/>
          <w:b/>
          <w:color w:val="202A30"/>
          <w:szCs w:val="24"/>
          <w:shd w:val="clear" w:color="auto" w:fill="FFFFFF"/>
        </w:rPr>
        <w:t xml:space="preserve">. The service requirements </w:t>
      </w:r>
      <w:r w:rsidR="004F5A5B" w:rsidRPr="00714310">
        <w:rPr>
          <w:rFonts w:cs="Arial"/>
          <w:b/>
          <w:color w:val="202A30"/>
          <w:szCs w:val="24"/>
          <w:shd w:val="clear" w:color="auto" w:fill="FFFFFF"/>
        </w:rPr>
        <w:t xml:space="preserve">set out in the specifications </w:t>
      </w:r>
      <w:r w:rsidRPr="00714310">
        <w:rPr>
          <w:rFonts w:cs="Arial"/>
          <w:b/>
          <w:color w:val="202A30"/>
          <w:szCs w:val="24"/>
          <w:shd w:val="clear" w:color="auto" w:fill="FFFFFF"/>
        </w:rPr>
        <w:t xml:space="preserve">focus on interventions and cohorts where there is significant scope to </w:t>
      </w:r>
      <w:r w:rsidR="00751C5A" w:rsidRPr="00714310">
        <w:rPr>
          <w:rFonts w:cs="Arial"/>
          <w:b/>
          <w:color w:val="202A30"/>
          <w:szCs w:val="24"/>
          <w:shd w:val="clear" w:color="auto" w:fill="FFFFFF"/>
        </w:rPr>
        <w:t>improve outcomes</w:t>
      </w:r>
      <w:r w:rsidRPr="00714310">
        <w:rPr>
          <w:rFonts w:cs="Arial"/>
          <w:b/>
          <w:color w:val="202A30"/>
          <w:szCs w:val="24"/>
          <w:shd w:val="clear" w:color="auto" w:fill="FFFFFF"/>
        </w:rPr>
        <w:t xml:space="preserve"> and people’s health and wellbeing</w:t>
      </w:r>
      <w:r w:rsidRPr="00714310">
        <w:rPr>
          <w:rFonts w:cs="Arial"/>
          <w:color w:val="202A30"/>
          <w:szCs w:val="24"/>
          <w:shd w:val="clear" w:color="auto" w:fill="FFFFFF"/>
        </w:rPr>
        <w:t>.</w:t>
      </w:r>
    </w:p>
    <w:p w14:paraId="4693EAAE" w14:textId="77777777" w:rsidR="00714310" w:rsidRPr="00714310" w:rsidRDefault="00714310" w:rsidP="007305A1">
      <w:pPr>
        <w:pStyle w:val="ListParagraph"/>
        <w:ind w:left="567" w:hanging="567"/>
        <w:rPr>
          <w:rFonts w:cs="Arial"/>
          <w:szCs w:val="24"/>
        </w:rPr>
      </w:pPr>
    </w:p>
    <w:p w14:paraId="55C32265" w14:textId="77777777" w:rsidR="00714310" w:rsidRPr="00714310" w:rsidRDefault="004F5A5B" w:rsidP="007305A1">
      <w:pPr>
        <w:pStyle w:val="ListParagraph"/>
        <w:numPr>
          <w:ilvl w:val="1"/>
          <w:numId w:val="45"/>
        </w:numPr>
        <w:spacing w:line="276" w:lineRule="auto"/>
        <w:ind w:left="567" w:hanging="567"/>
        <w:rPr>
          <w:rFonts w:cs="Arial"/>
          <w:szCs w:val="24"/>
        </w:rPr>
      </w:pPr>
      <w:r w:rsidRPr="00714310">
        <w:rPr>
          <w:rFonts w:cs="Arial"/>
          <w:szCs w:val="24"/>
        </w:rPr>
        <w:t>The outline service specifications also</w:t>
      </w:r>
      <w:r w:rsidR="00CD63A4" w:rsidRPr="00714310">
        <w:rPr>
          <w:rFonts w:cs="Arial"/>
          <w:szCs w:val="24"/>
        </w:rPr>
        <w:t xml:space="preserve"> illustrate the proposed </w:t>
      </w:r>
      <w:r w:rsidR="00CD63A4" w:rsidRPr="00714310">
        <w:rPr>
          <w:rFonts w:cs="Arial"/>
        </w:rPr>
        <w:t xml:space="preserve">metrics which </w:t>
      </w:r>
      <w:r w:rsidR="008D53CA" w:rsidRPr="00714310">
        <w:rPr>
          <w:rFonts w:cs="Arial"/>
        </w:rPr>
        <w:t xml:space="preserve">– through a new Network Dashboard </w:t>
      </w:r>
      <w:r w:rsidR="007F4028" w:rsidRPr="00714310">
        <w:rPr>
          <w:rFonts w:cs="Arial"/>
        </w:rPr>
        <w:t>–</w:t>
      </w:r>
      <w:r w:rsidR="008D53CA" w:rsidRPr="00714310">
        <w:rPr>
          <w:rFonts w:cs="Arial"/>
        </w:rPr>
        <w:t xml:space="preserve"> </w:t>
      </w:r>
      <w:r w:rsidR="00CD63A4" w:rsidRPr="00714310">
        <w:rPr>
          <w:rFonts w:cs="Arial"/>
        </w:rPr>
        <w:t>will</w:t>
      </w:r>
      <w:r w:rsidR="008D53CA" w:rsidRPr="00714310">
        <w:rPr>
          <w:rFonts w:cs="Arial"/>
        </w:rPr>
        <w:t xml:space="preserve"> enable PCNs to understand their </w:t>
      </w:r>
      <w:r w:rsidR="007B0720" w:rsidRPr="00714310">
        <w:rPr>
          <w:rFonts w:cs="Arial"/>
        </w:rPr>
        <w:t xml:space="preserve">own </w:t>
      </w:r>
      <w:r w:rsidR="00751C5A" w:rsidRPr="00714310">
        <w:rPr>
          <w:rFonts w:cs="Arial"/>
        </w:rPr>
        <w:t xml:space="preserve">position </w:t>
      </w:r>
      <w:r w:rsidR="008D53CA" w:rsidRPr="00714310">
        <w:rPr>
          <w:rFonts w:cs="Arial"/>
        </w:rPr>
        <w:t xml:space="preserve">and support peer learning and quality improvement. </w:t>
      </w:r>
    </w:p>
    <w:p w14:paraId="3A0B5B8D" w14:textId="77777777" w:rsidR="00714310" w:rsidRPr="00714310" w:rsidRDefault="00714310" w:rsidP="007305A1">
      <w:pPr>
        <w:pStyle w:val="ListParagraph"/>
        <w:ind w:left="567" w:hanging="567"/>
        <w:rPr>
          <w:rFonts w:cs="Arial"/>
          <w:szCs w:val="24"/>
        </w:rPr>
      </w:pPr>
    </w:p>
    <w:p w14:paraId="08F5F90F" w14:textId="641BF581" w:rsidR="00410480" w:rsidRDefault="00493F8D" w:rsidP="007305A1">
      <w:pPr>
        <w:pStyle w:val="ListParagraph"/>
        <w:numPr>
          <w:ilvl w:val="1"/>
          <w:numId w:val="45"/>
        </w:numPr>
        <w:spacing w:line="276" w:lineRule="auto"/>
        <w:ind w:left="567" w:hanging="567"/>
        <w:rPr>
          <w:rFonts w:cs="Arial"/>
          <w:szCs w:val="24"/>
        </w:rPr>
      </w:pPr>
      <w:r w:rsidRPr="00714310">
        <w:rPr>
          <w:rFonts w:cs="Arial"/>
          <w:szCs w:val="24"/>
        </w:rPr>
        <w:t>NHSE/I will continue to develop and refine the proposals in discussion with GPC England</w:t>
      </w:r>
      <w:r w:rsidR="00751C5A" w:rsidRPr="00714310">
        <w:rPr>
          <w:rFonts w:cs="Arial"/>
          <w:szCs w:val="24"/>
        </w:rPr>
        <w:t xml:space="preserve"> on behalf of general practice</w:t>
      </w:r>
      <w:r w:rsidR="007B2967" w:rsidRPr="00714310">
        <w:rPr>
          <w:rFonts w:cs="Arial"/>
          <w:szCs w:val="24"/>
        </w:rPr>
        <w:t xml:space="preserve"> through the annual GP contract negotiations</w:t>
      </w:r>
      <w:r w:rsidRPr="00714310">
        <w:rPr>
          <w:rFonts w:cs="Arial"/>
          <w:szCs w:val="24"/>
        </w:rPr>
        <w:t>,</w:t>
      </w:r>
      <w:r w:rsidR="007B2967" w:rsidRPr="00714310">
        <w:rPr>
          <w:rFonts w:cs="Arial"/>
          <w:szCs w:val="24"/>
        </w:rPr>
        <w:t xml:space="preserve"> and </w:t>
      </w:r>
      <w:r w:rsidR="004C7BD3" w:rsidRPr="00714310">
        <w:rPr>
          <w:rFonts w:cs="Arial"/>
          <w:szCs w:val="24"/>
        </w:rPr>
        <w:t xml:space="preserve">in response to feedback from patients, clinicians and </w:t>
      </w:r>
      <w:r w:rsidR="004C7BD3" w:rsidRPr="00714310">
        <w:rPr>
          <w:rFonts w:cs="Arial"/>
          <w:szCs w:val="24"/>
        </w:rPr>
        <w:lastRenderedPageBreak/>
        <w:t>organisations with an interest in primary care and the subject areas of the specifications</w:t>
      </w:r>
      <w:r w:rsidR="007B2967" w:rsidRPr="00714310">
        <w:rPr>
          <w:rFonts w:cs="Arial"/>
          <w:szCs w:val="24"/>
        </w:rPr>
        <w:t xml:space="preserve">. </w:t>
      </w:r>
      <w:r w:rsidRPr="00714310">
        <w:rPr>
          <w:rFonts w:cs="Arial"/>
          <w:b/>
          <w:szCs w:val="24"/>
        </w:rPr>
        <w:t xml:space="preserve">The final version of the specifications will </w:t>
      </w:r>
      <w:r w:rsidR="00EA5F2A">
        <w:rPr>
          <w:rFonts w:cs="Arial"/>
          <w:b/>
          <w:szCs w:val="24"/>
        </w:rPr>
        <w:t xml:space="preserve">be published in early 2020 as part of the wider GP contract package for 2020/21. The final versions will </w:t>
      </w:r>
      <w:r w:rsidRPr="00714310">
        <w:rPr>
          <w:rFonts w:cs="Arial"/>
          <w:b/>
          <w:szCs w:val="24"/>
        </w:rPr>
        <w:t xml:space="preserve">include further detail for each requirement, </w:t>
      </w:r>
      <w:r w:rsidR="00BF1BF2">
        <w:rPr>
          <w:rFonts w:cs="Arial"/>
          <w:b/>
          <w:szCs w:val="24"/>
        </w:rPr>
        <w:t>foll</w:t>
      </w:r>
      <w:r w:rsidR="00BE5437">
        <w:rPr>
          <w:rFonts w:cs="Arial"/>
          <w:b/>
          <w:szCs w:val="24"/>
        </w:rPr>
        <w:t>o</w:t>
      </w:r>
      <w:r w:rsidR="00BF1BF2">
        <w:rPr>
          <w:rFonts w:cs="Arial"/>
          <w:b/>
          <w:szCs w:val="24"/>
        </w:rPr>
        <w:t>wed</w:t>
      </w:r>
      <w:r w:rsidR="00BF1BF2" w:rsidRPr="00714310">
        <w:rPr>
          <w:rFonts w:cs="Arial"/>
          <w:b/>
          <w:szCs w:val="24"/>
        </w:rPr>
        <w:t xml:space="preserve"> </w:t>
      </w:r>
      <w:r w:rsidR="003844E6">
        <w:rPr>
          <w:rFonts w:cs="Arial"/>
          <w:b/>
          <w:szCs w:val="24"/>
        </w:rPr>
        <w:t>by</w:t>
      </w:r>
      <w:r w:rsidR="003844E6" w:rsidRPr="00714310">
        <w:rPr>
          <w:rFonts w:cs="Arial"/>
          <w:b/>
          <w:szCs w:val="24"/>
        </w:rPr>
        <w:t xml:space="preserve"> </w:t>
      </w:r>
      <w:r w:rsidRPr="00714310">
        <w:rPr>
          <w:rFonts w:cs="Arial"/>
          <w:b/>
          <w:szCs w:val="24"/>
        </w:rPr>
        <w:t>guidance</w:t>
      </w:r>
      <w:r w:rsidRPr="00714310">
        <w:rPr>
          <w:rFonts w:cs="Arial"/>
          <w:szCs w:val="24"/>
        </w:rPr>
        <w:t xml:space="preserve">, to support PCNs and other providers to deliver the </w:t>
      </w:r>
      <w:r w:rsidR="00EF0254" w:rsidRPr="00714310">
        <w:rPr>
          <w:rFonts w:cs="Arial"/>
          <w:szCs w:val="24"/>
        </w:rPr>
        <w:t>requirements</w:t>
      </w:r>
      <w:r w:rsidRPr="00714310">
        <w:rPr>
          <w:rFonts w:cs="Arial"/>
          <w:szCs w:val="24"/>
        </w:rPr>
        <w:t xml:space="preserve"> as effectively as possible. </w:t>
      </w:r>
    </w:p>
    <w:p w14:paraId="5F606B25" w14:textId="77777777" w:rsidR="00410480" w:rsidRPr="00410480" w:rsidRDefault="00410480" w:rsidP="007305A1">
      <w:pPr>
        <w:pStyle w:val="ListParagraph"/>
        <w:ind w:left="567" w:hanging="567"/>
        <w:rPr>
          <w:iCs/>
        </w:rPr>
      </w:pPr>
    </w:p>
    <w:p w14:paraId="5000BE0F" w14:textId="3307F0F1" w:rsidR="00410480" w:rsidRPr="001317C7" w:rsidRDefault="001317C7" w:rsidP="007305A1">
      <w:pPr>
        <w:pStyle w:val="ListParagraph"/>
        <w:numPr>
          <w:ilvl w:val="1"/>
          <w:numId w:val="45"/>
        </w:numPr>
        <w:spacing w:line="276" w:lineRule="auto"/>
        <w:ind w:left="567" w:hanging="567"/>
        <w:rPr>
          <w:rFonts w:cs="Arial"/>
          <w:szCs w:val="24"/>
        </w:rPr>
      </w:pPr>
      <w:r w:rsidRPr="001317C7">
        <w:t>NHSE/I will continue to consider the opportunities and risks arising from these specifications (and primary care networks more broadly) in relation to health inequalities.</w:t>
      </w:r>
    </w:p>
    <w:p w14:paraId="4B1CB774" w14:textId="77777777" w:rsidR="00410480" w:rsidRDefault="00410480" w:rsidP="007305A1">
      <w:pPr>
        <w:spacing w:after="0" w:line="276" w:lineRule="auto"/>
        <w:ind w:left="567" w:hanging="567"/>
        <w:rPr>
          <w:rFonts w:cs="Arial"/>
          <w:color w:val="202A30"/>
          <w:szCs w:val="24"/>
          <w:shd w:val="clear" w:color="auto" w:fill="FFFFFF"/>
        </w:rPr>
      </w:pPr>
    </w:p>
    <w:p w14:paraId="6F541DAC" w14:textId="77777777" w:rsidR="00524F74" w:rsidRPr="001D6515" w:rsidRDefault="000C3A79" w:rsidP="007305A1">
      <w:pPr>
        <w:spacing w:line="276" w:lineRule="auto"/>
        <w:ind w:left="567" w:hanging="567"/>
        <w:rPr>
          <w:rFonts w:cs="Arial"/>
          <w:i/>
          <w:szCs w:val="24"/>
        </w:rPr>
      </w:pPr>
      <w:r w:rsidRPr="001D6515">
        <w:rPr>
          <w:rFonts w:cs="Arial"/>
          <w:i/>
          <w:szCs w:val="24"/>
        </w:rPr>
        <w:t>Funding</w:t>
      </w:r>
      <w:r>
        <w:rPr>
          <w:rFonts w:cs="Arial"/>
          <w:i/>
          <w:szCs w:val="24"/>
        </w:rPr>
        <w:t xml:space="preserve"> and Additional Roles</w:t>
      </w:r>
    </w:p>
    <w:p w14:paraId="4F6173F0" w14:textId="68A9A6DC" w:rsidR="00714310" w:rsidRPr="00714310" w:rsidRDefault="00493F8D" w:rsidP="007305A1">
      <w:pPr>
        <w:pStyle w:val="ListParagraph"/>
        <w:numPr>
          <w:ilvl w:val="1"/>
          <w:numId w:val="45"/>
        </w:numPr>
        <w:spacing w:line="276" w:lineRule="auto"/>
        <w:ind w:left="567" w:hanging="567"/>
        <w:rPr>
          <w:rFonts w:cs="Arial"/>
          <w:szCs w:val="24"/>
        </w:rPr>
      </w:pPr>
      <w:r w:rsidRPr="00714310">
        <w:rPr>
          <w:rFonts w:cs="Arial"/>
          <w:color w:val="202A30"/>
          <w:szCs w:val="24"/>
          <w:shd w:val="clear" w:color="auto" w:fill="FFFFFF"/>
        </w:rPr>
        <w:t xml:space="preserve">The Network Contract DES provides funding entitlements worth </w:t>
      </w:r>
      <w:r w:rsidR="00662CF0" w:rsidRPr="00714310">
        <w:rPr>
          <w:rFonts w:cs="Arial"/>
          <w:color w:val="202A30"/>
          <w:szCs w:val="24"/>
          <w:shd w:val="clear" w:color="auto" w:fill="FFFFFF"/>
        </w:rPr>
        <w:t>£552m in 2020/21, rising to £1.799bn by 2023/24.</w:t>
      </w:r>
      <w:r w:rsidR="007B2967" w:rsidRPr="00714310">
        <w:rPr>
          <w:rFonts w:cs="Arial"/>
          <w:color w:val="202A30"/>
          <w:szCs w:val="24"/>
          <w:shd w:val="clear" w:color="auto" w:fill="FFFFFF"/>
        </w:rPr>
        <w:t xml:space="preserve"> This comes on top of increases to the core practice contract worth £296m in 2020/21, rising to £978m in 2023/24.</w:t>
      </w:r>
      <w:r w:rsidR="000C3A79" w:rsidRPr="00714310">
        <w:rPr>
          <w:rFonts w:cs="Arial"/>
          <w:color w:val="202A30"/>
          <w:szCs w:val="24"/>
          <w:shd w:val="clear" w:color="auto" w:fill="FFFFFF"/>
        </w:rPr>
        <w:t xml:space="preserve"> </w:t>
      </w:r>
      <w:r w:rsidR="00662CF0" w:rsidRPr="00714310">
        <w:rPr>
          <w:rFonts w:cs="Arial"/>
          <w:b/>
          <w:color w:val="202A30"/>
          <w:szCs w:val="24"/>
          <w:shd w:val="clear" w:color="auto" w:fill="FFFFFF"/>
        </w:rPr>
        <w:t xml:space="preserve">Funding is not </w:t>
      </w:r>
      <w:r w:rsidR="00AA7265" w:rsidRPr="00714310">
        <w:rPr>
          <w:rFonts w:cs="Arial"/>
          <w:b/>
          <w:color w:val="202A30"/>
          <w:szCs w:val="24"/>
          <w:shd w:val="clear" w:color="auto" w:fill="FFFFFF"/>
        </w:rPr>
        <w:t>allocated directly for delivery</w:t>
      </w:r>
      <w:r w:rsidR="00266A27" w:rsidRPr="00714310">
        <w:rPr>
          <w:rFonts w:cs="Arial"/>
          <w:b/>
          <w:color w:val="202A30"/>
          <w:szCs w:val="24"/>
          <w:shd w:val="clear" w:color="auto" w:fill="FFFFFF"/>
        </w:rPr>
        <w:t xml:space="preserve"> of</w:t>
      </w:r>
      <w:r w:rsidR="00662CF0" w:rsidRPr="00714310">
        <w:rPr>
          <w:rFonts w:cs="Arial"/>
          <w:b/>
          <w:color w:val="202A30"/>
          <w:szCs w:val="24"/>
          <w:shd w:val="clear" w:color="auto" w:fill="FFFFFF"/>
        </w:rPr>
        <w:t xml:space="preserve"> the service specifications;</w:t>
      </w:r>
      <w:r w:rsidR="00662CF0" w:rsidRPr="00714310">
        <w:rPr>
          <w:rFonts w:cs="Arial"/>
          <w:color w:val="202A30"/>
          <w:szCs w:val="24"/>
          <w:shd w:val="clear" w:color="auto" w:fill="FFFFFF"/>
        </w:rPr>
        <w:t xml:space="preserve"> rather, the largest portion of network funding (£257m in 2020/21, rising to £891m in 2023/24) provides reimbursement for additional workforce roles that PCNs can engage to support the delivery of the specifications and alleviate wider workforce pressures. This funding enables the deployment of </w:t>
      </w:r>
      <w:r w:rsidR="00B12953" w:rsidRPr="00714310">
        <w:rPr>
          <w:rFonts w:cs="Arial"/>
          <w:color w:val="202A30"/>
          <w:szCs w:val="24"/>
          <w:shd w:val="clear" w:color="auto" w:fill="FFFFFF"/>
        </w:rPr>
        <w:t>over 6</w:t>
      </w:r>
      <w:r w:rsidR="00662CF0" w:rsidRPr="00714310">
        <w:rPr>
          <w:rFonts w:cs="Arial"/>
          <w:color w:val="202A30"/>
          <w:szCs w:val="24"/>
          <w:shd w:val="clear" w:color="auto" w:fill="FFFFFF"/>
        </w:rPr>
        <w:t xml:space="preserve">,000 additional staff by 2020/21, rising to </w:t>
      </w:r>
      <w:r w:rsidR="00B12953" w:rsidRPr="00714310">
        <w:rPr>
          <w:rFonts w:cs="Arial"/>
          <w:color w:val="202A30"/>
          <w:szCs w:val="24"/>
          <w:shd w:val="clear" w:color="auto" w:fill="FFFFFF"/>
        </w:rPr>
        <w:t xml:space="preserve">over </w:t>
      </w:r>
      <w:r w:rsidR="00662CF0" w:rsidRPr="00714310">
        <w:rPr>
          <w:rFonts w:cs="Arial"/>
          <w:color w:val="202A30"/>
          <w:szCs w:val="24"/>
          <w:shd w:val="clear" w:color="auto" w:fill="FFFFFF"/>
        </w:rPr>
        <w:t xml:space="preserve">20,000 by 2023/24. For a PCN covering a population of 50,000 people, that </w:t>
      </w:r>
      <w:r w:rsidR="00232E79" w:rsidRPr="00714310">
        <w:rPr>
          <w:rFonts w:cs="Arial"/>
          <w:color w:val="202A30"/>
          <w:szCs w:val="24"/>
          <w:shd w:val="clear" w:color="auto" w:fill="FFFFFF"/>
        </w:rPr>
        <w:t xml:space="preserve">could </w:t>
      </w:r>
      <w:r w:rsidR="00662CF0" w:rsidRPr="00714310">
        <w:rPr>
          <w:rFonts w:cs="Arial"/>
          <w:color w:val="202A30"/>
          <w:szCs w:val="24"/>
          <w:shd w:val="clear" w:color="auto" w:fill="FFFFFF"/>
        </w:rPr>
        <w:t xml:space="preserve">equate to </w:t>
      </w:r>
      <w:r w:rsidR="00B12953" w:rsidRPr="00714310">
        <w:rPr>
          <w:rFonts w:cs="Arial"/>
          <w:color w:val="202A30"/>
          <w:szCs w:val="24"/>
          <w:shd w:val="clear" w:color="auto" w:fill="FFFFFF"/>
        </w:rPr>
        <w:t>around</w:t>
      </w:r>
      <w:r w:rsidR="00662CF0" w:rsidRPr="00714310">
        <w:rPr>
          <w:rFonts w:cs="Arial"/>
          <w:color w:val="202A30"/>
          <w:szCs w:val="24"/>
          <w:shd w:val="clear" w:color="auto" w:fill="FFFFFF"/>
        </w:rPr>
        <w:t xml:space="preserve"> five additional staff in 2020/21 and </w:t>
      </w:r>
      <w:r w:rsidR="00B12953" w:rsidRPr="00714310">
        <w:rPr>
          <w:rFonts w:cs="Arial"/>
          <w:color w:val="202A30"/>
          <w:szCs w:val="24"/>
          <w:shd w:val="clear" w:color="auto" w:fill="FFFFFF"/>
        </w:rPr>
        <w:t>around</w:t>
      </w:r>
      <w:r w:rsidR="00662CF0" w:rsidRPr="00714310">
        <w:rPr>
          <w:rFonts w:cs="Arial"/>
          <w:color w:val="202A30"/>
          <w:szCs w:val="24"/>
          <w:shd w:val="clear" w:color="auto" w:fill="FFFFFF"/>
        </w:rPr>
        <w:t xml:space="preserve"> 16 additional staff by 2023/24</w:t>
      </w:r>
      <w:r w:rsidR="008C12FA" w:rsidRPr="00714310">
        <w:rPr>
          <w:rFonts w:cs="Arial"/>
          <w:color w:val="202A30"/>
          <w:szCs w:val="24"/>
          <w:shd w:val="clear" w:color="auto" w:fill="FFFFFF"/>
        </w:rPr>
        <w:t xml:space="preserve">. </w:t>
      </w:r>
      <w:r w:rsidR="008C12FA" w:rsidRPr="00714310">
        <w:rPr>
          <w:rFonts w:cs="Arial"/>
          <w:b/>
          <w:color w:val="202A30"/>
          <w:szCs w:val="24"/>
          <w:shd w:val="clear" w:color="auto" w:fill="FFFFFF"/>
        </w:rPr>
        <w:t xml:space="preserve">This represents a major uplift in </w:t>
      </w:r>
      <w:r w:rsidR="00CD63A4" w:rsidRPr="00714310">
        <w:rPr>
          <w:rFonts w:cs="Arial"/>
          <w:b/>
          <w:color w:val="202A30"/>
          <w:szCs w:val="24"/>
          <w:shd w:val="clear" w:color="auto" w:fill="FFFFFF"/>
        </w:rPr>
        <w:t xml:space="preserve">the </w:t>
      </w:r>
      <w:r w:rsidR="008C12FA" w:rsidRPr="00714310">
        <w:rPr>
          <w:rFonts w:cs="Arial"/>
          <w:b/>
          <w:color w:val="202A30"/>
          <w:szCs w:val="24"/>
          <w:shd w:val="clear" w:color="auto" w:fill="FFFFFF"/>
        </w:rPr>
        <w:t xml:space="preserve">workforce capacity within </w:t>
      </w:r>
      <w:r w:rsidR="00CD63A4" w:rsidRPr="00714310">
        <w:rPr>
          <w:rFonts w:cs="Arial"/>
          <w:b/>
          <w:color w:val="202A30"/>
          <w:szCs w:val="24"/>
          <w:shd w:val="clear" w:color="auto" w:fill="FFFFFF"/>
        </w:rPr>
        <w:t>primary care.</w:t>
      </w:r>
      <w:r w:rsidR="008C12FA" w:rsidRPr="00714310">
        <w:rPr>
          <w:rFonts w:cs="Arial"/>
          <w:color w:val="202A30"/>
          <w:szCs w:val="24"/>
          <w:shd w:val="clear" w:color="auto" w:fill="FFFFFF"/>
        </w:rPr>
        <w:t xml:space="preserve"> </w:t>
      </w:r>
    </w:p>
    <w:p w14:paraId="4F733C9C" w14:textId="77777777" w:rsidR="00714310" w:rsidRPr="00714310" w:rsidRDefault="00714310" w:rsidP="007305A1">
      <w:pPr>
        <w:pStyle w:val="ListParagraph"/>
        <w:spacing w:line="276" w:lineRule="auto"/>
        <w:ind w:left="567" w:hanging="567"/>
        <w:rPr>
          <w:rFonts w:cs="Arial"/>
          <w:szCs w:val="24"/>
        </w:rPr>
      </w:pPr>
    </w:p>
    <w:p w14:paraId="0FCAEB0E" w14:textId="77777777" w:rsidR="00714310" w:rsidRPr="00714310" w:rsidRDefault="0019261D" w:rsidP="007305A1">
      <w:pPr>
        <w:pStyle w:val="ListParagraph"/>
        <w:numPr>
          <w:ilvl w:val="1"/>
          <w:numId w:val="45"/>
        </w:numPr>
        <w:spacing w:line="276" w:lineRule="auto"/>
        <w:ind w:left="567" w:hanging="567"/>
        <w:rPr>
          <w:rStyle w:val="CommentReference"/>
          <w:rFonts w:cs="Arial"/>
          <w:sz w:val="24"/>
          <w:szCs w:val="24"/>
        </w:rPr>
      </w:pPr>
      <w:r w:rsidRPr="00714310">
        <w:rPr>
          <w:rFonts w:cs="Arial"/>
          <w:szCs w:val="24"/>
        </w:rPr>
        <w:t xml:space="preserve">Providing that PCNs move forward swiftly to engage new staff and use their additional roles reimbursement entitlement, </w:t>
      </w:r>
      <w:r w:rsidRPr="00714310">
        <w:rPr>
          <w:rFonts w:cs="Arial"/>
          <w:b/>
          <w:szCs w:val="24"/>
        </w:rPr>
        <w:t xml:space="preserve">there will be significant additional capacity within primary care </w:t>
      </w:r>
      <w:r w:rsidR="00E51872" w:rsidRPr="00714310">
        <w:rPr>
          <w:rFonts w:cs="Arial"/>
          <w:b/>
          <w:szCs w:val="24"/>
        </w:rPr>
        <w:t>in</w:t>
      </w:r>
      <w:r w:rsidRPr="00714310">
        <w:rPr>
          <w:rFonts w:cs="Arial"/>
          <w:b/>
          <w:szCs w:val="24"/>
        </w:rPr>
        <w:t xml:space="preserve"> 2020/21 to deliver the specifications</w:t>
      </w:r>
      <w:r w:rsidRPr="00714310">
        <w:rPr>
          <w:rFonts w:cs="Arial"/>
          <w:szCs w:val="24"/>
        </w:rPr>
        <w:t xml:space="preserve">. </w:t>
      </w:r>
      <w:r w:rsidR="00A46876" w:rsidRPr="00714310">
        <w:rPr>
          <w:rFonts w:cs="Arial"/>
          <w:szCs w:val="24"/>
        </w:rPr>
        <w:t>Recruitment decisions by PCNs will depend on their priorities but an average PCN could – indicatively –</w:t>
      </w:r>
      <w:r w:rsidR="00980F7F" w:rsidRPr="00714310">
        <w:rPr>
          <w:rFonts w:cs="Arial"/>
          <w:szCs w:val="24"/>
        </w:rPr>
        <w:t xml:space="preserve"> </w:t>
      </w:r>
      <w:r w:rsidR="00A46876" w:rsidRPr="00714310">
        <w:rPr>
          <w:rFonts w:cs="Arial"/>
          <w:szCs w:val="24"/>
        </w:rPr>
        <w:t xml:space="preserve">engage around 3 WTE clinical pharmacists, 1.5 WTE social prescribing link workers, 0.5 WTE physiotherapists and 0.5 WTE physician associates from April 2020. </w:t>
      </w:r>
      <w:r w:rsidR="00A46876" w:rsidRPr="00714310">
        <w:rPr>
          <w:rFonts w:cs="Arial"/>
          <w:b/>
          <w:szCs w:val="24"/>
        </w:rPr>
        <w:t xml:space="preserve">This </w:t>
      </w:r>
      <w:r w:rsidR="00E51872" w:rsidRPr="00714310">
        <w:rPr>
          <w:rFonts w:cs="Arial"/>
          <w:b/>
          <w:szCs w:val="24"/>
        </w:rPr>
        <w:t xml:space="preserve">would </w:t>
      </w:r>
      <w:r w:rsidR="008B3C3F" w:rsidRPr="00714310">
        <w:rPr>
          <w:rFonts w:cs="Arial"/>
          <w:b/>
          <w:szCs w:val="24"/>
        </w:rPr>
        <w:t xml:space="preserve">provide more than </w:t>
      </w:r>
      <w:proofErr w:type="gramStart"/>
      <w:r w:rsidR="008B3C3F" w:rsidRPr="00714310">
        <w:rPr>
          <w:rFonts w:cs="Arial"/>
          <w:b/>
          <w:szCs w:val="24"/>
        </w:rPr>
        <w:t>sufficient</w:t>
      </w:r>
      <w:proofErr w:type="gramEnd"/>
      <w:r w:rsidR="008B3C3F" w:rsidRPr="00714310">
        <w:rPr>
          <w:rFonts w:cs="Arial"/>
          <w:b/>
          <w:szCs w:val="24"/>
        </w:rPr>
        <w:t xml:space="preserve"> capacity to deliver the </w:t>
      </w:r>
      <w:r w:rsidR="00A46876" w:rsidRPr="00714310">
        <w:rPr>
          <w:rFonts w:cs="Arial"/>
          <w:b/>
          <w:szCs w:val="24"/>
        </w:rPr>
        <w:t xml:space="preserve">requirements across </w:t>
      </w:r>
      <w:r w:rsidR="00263A89" w:rsidRPr="00714310">
        <w:rPr>
          <w:rFonts w:cs="Arial"/>
          <w:b/>
          <w:szCs w:val="24"/>
        </w:rPr>
        <w:t xml:space="preserve">all five </w:t>
      </w:r>
      <w:r w:rsidR="008B3C3F" w:rsidRPr="00714310">
        <w:rPr>
          <w:rFonts w:cs="Arial"/>
          <w:b/>
          <w:szCs w:val="24"/>
        </w:rPr>
        <w:t>service</w:t>
      </w:r>
      <w:r w:rsidR="00A46876" w:rsidRPr="00714310">
        <w:rPr>
          <w:rFonts w:cs="Arial"/>
          <w:b/>
          <w:szCs w:val="24"/>
        </w:rPr>
        <w:t>s with significant capacity remaining for these additional roles to</w:t>
      </w:r>
      <w:r w:rsidR="008B3C3F" w:rsidRPr="00714310">
        <w:rPr>
          <w:rFonts w:cs="Arial"/>
          <w:b/>
          <w:szCs w:val="24"/>
        </w:rPr>
        <w:t xml:space="preserve"> provide wider support to GP workforce pressures</w:t>
      </w:r>
      <w:r w:rsidR="00A65AE9" w:rsidRPr="00714310">
        <w:rPr>
          <w:rFonts w:cs="Arial"/>
          <w:szCs w:val="24"/>
        </w:rPr>
        <w:t xml:space="preserve"> by handling appointments or queries that would otherwise have been the responsibly of the GP</w:t>
      </w:r>
      <w:r w:rsidR="008B3C3F" w:rsidRPr="00714310">
        <w:rPr>
          <w:rFonts w:cs="Arial"/>
          <w:szCs w:val="24"/>
        </w:rPr>
        <w:t xml:space="preserve">. </w:t>
      </w:r>
    </w:p>
    <w:p w14:paraId="76A8347A" w14:textId="77777777" w:rsidR="00714310" w:rsidRPr="00714310" w:rsidRDefault="00714310" w:rsidP="007305A1">
      <w:pPr>
        <w:pStyle w:val="ListParagraph"/>
        <w:ind w:left="567" w:hanging="567"/>
        <w:rPr>
          <w:rFonts w:cs="Arial"/>
          <w:szCs w:val="24"/>
        </w:rPr>
      </w:pPr>
    </w:p>
    <w:p w14:paraId="6901F7B3" w14:textId="1075C17C" w:rsidR="00714310" w:rsidRDefault="00714310" w:rsidP="007305A1">
      <w:pPr>
        <w:pStyle w:val="ListParagraph"/>
        <w:numPr>
          <w:ilvl w:val="1"/>
          <w:numId w:val="45"/>
        </w:numPr>
        <w:spacing w:line="276" w:lineRule="auto"/>
        <w:ind w:left="567" w:hanging="567"/>
        <w:rPr>
          <w:rFonts w:cs="Arial"/>
          <w:szCs w:val="24"/>
        </w:rPr>
      </w:pPr>
      <w:r w:rsidRPr="007305A1">
        <w:rPr>
          <w:rFonts w:cs="Arial"/>
          <w:b/>
          <w:szCs w:val="24"/>
        </w:rPr>
        <w:t xml:space="preserve">We </w:t>
      </w:r>
      <w:r w:rsidR="00E51872" w:rsidRPr="007305A1">
        <w:rPr>
          <w:rFonts w:cs="Arial"/>
          <w:b/>
          <w:szCs w:val="24"/>
        </w:rPr>
        <w:t>will be asking CCGs and ICSs to support PCNs and their community provider</w:t>
      </w:r>
      <w:r w:rsidR="00273EC4">
        <w:rPr>
          <w:rFonts w:cs="Arial"/>
          <w:b/>
          <w:szCs w:val="24"/>
        </w:rPr>
        <w:t>s</w:t>
      </w:r>
      <w:r w:rsidR="00E51872" w:rsidRPr="007305A1">
        <w:rPr>
          <w:rFonts w:cs="Arial"/>
          <w:b/>
          <w:szCs w:val="24"/>
        </w:rPr>
        <w:t xml:space="preserve"> to institute shared workforce models</w:t>
      </w:r>
      <w:r w:rsidR="00E51872" w:rsidRPr="00714310">
        <w:rPr>
          <w:rFonts w:cs="Arial"/>
          <w:szCs w:val="24"/>
        </w:rPr>
        <w:t xml:space="preserve"> that can help maximise the collaboration between local partners to deliver the specifications and build the wider PCN.</w:t>
      </w:r>
    </w:p>
    <w:p w14:paraId="0B888E3C" w14:textId="77777777" w:rsidR="00714310" w:rsidRPr="00714310" w:rsidRDefault="00714310" w:rsidP="007305A1">
      <w:pPr>
        <w:pStyle w:val="ListParagraph"/>
        <w:ind w:left="567" w:hanging="567"/>
        <w:rPr>
          <w:rFonts w:cs="Arial"/>
          <w:szCs w:val="24"/>
        </w:rPr>
      </w:pPr>
    </w:p>
    <w:p w14:paraId="35D89BEA" w14:textId="108C71AA" w:rsidR="00714310" w:rsidRDefault="0043313C" w:rsidP="007305A1">
      <w:pPr>
        <w:pStyle w:val="ListParagraph"/>
        <w:numPr>
          <w:ilvl w:val="1"/>
          <w:numId w:val="45"/>
        </w:numPr>
        <w:spacing w:line="276" w:lineRule="auto"/>
        <w:ind w:left="567" w:hanging="567"/>
        <w:rPr>
          <w:rFonts w:cs="Arial"/>
          <w:szCs w:val="24"/>
        </w:rPr>
      </w:pPr>
      <w:r w:rsidRPr="00714310">
        <w:rPr>
          <w:rFonts w:cs="Arial"/>
          <w:szCs w:val="24"/>
        </w:rPr>
        <w:lastRenderedPageBreak/>
        <w:t>In addition to the funding for additional workforce roles</w:t>
      </w:r>
      <w:r w:rsidR="00273EC4">
        <w:rPr>
          <w:rFonts w:cs="Arial"/>
          <w:szCs w:val="24"/>
        </w:rPr>
        <w:t>,</w:t>
      </w:r>
      <w:r w:rsidRPr="00714310">
        <w:rPr>
          <w:rFonts w:cs="Arial"/>
          <w:szCs w:val="24"/>
        </w:rPr>
        <w:t xml:space="preserve"> a typical practice within a PCN will receive funding of £14,000 for participating in a PCN through their PCN participation payment. Each PCN is guaranteed a cash payment of £1.50 per registered patient and 0.25 FTE funding to support its Clinical Director. </w:t>
      </w:r>
      <w:r w:rsidRPr="007305A1">
        <w:rPr>
          <w:rFonts w:cs="Arial"/>
          <w:b/>
          <w:szCs w:val="24"/>
        </w:rPr>
        <w:t>Taken together, this provides over £109,000 for a PCN covering 50,000 people.</w:t>
      </w:r>
      <w:r w:rsidRPr="00714310">
        <w:rPr>
          <w:rFonts w:cs="Arial"/>
          <w:szCs w:val="24"/>
        </w:rPr>
        <w:t xml:space="preserve"> </w:t>
      </w:r>
    </w:p>
    <w:p w14:paraId="51E227CA" w14:textId="77777777" w:rsidR="00714310" w:rsidRPr="00714310" w:rsidRDefault="00714310" w:rsidP="007305A1">
      <w:pPr>
        <w:pStyle w:val="ListParagraph"/>
        <w:ind w:left="567" w:hanging="567"/>
        <w:rPr>
          <w:rFonts w:cs="Arial"/>
          <w:szCs w:val="24"/>
        </w:rPr>
      </w:pPr>
    </w:p>
    <w:p w14:paraId="15772A3C" w14:textId="77777777" w:rsidR="00714310" w:rsidRDefault="000C3A79" w:rsidP="007305A1">
      <w:pPr>
        <w:pStyle w:val="ListParagraph"/>
        <w:numPr>
          <w:ilvl w:val="1"/>
          <w:numId w:val="45"/>
        </w:numPr>
        <w:spacing w:line="276" w:lineRule="auto"/>
        <w:ind w:left="567" w:hanging="567"/>
        <w:rPr>
          <w:rFonts w:cs="Arial"/>
          <w:szCs w:val="24"/>
        </w:rPr>
      </w:pPr>
      <w:r w:rsidRPr="00714310">
        <w:rPr>
          <w:rFonts w:cs="Arial"/>
          <w:szCs w:val="24"/>
        </w:rPr>
        <w:t xml:space="preserve">Other funding is available to PCNs through the contract agreement, for example through their share of the </w:t>
      </w:r>
      <w:r w:rsidRPr="00714310">
        <w:rPr>
          <w:rFonts w:cs="Arial"/>
          <w:i/>
          <w:szCs w:val="24"/>
        </w:rPr>
        <w:t>Investment and Impact Fund</w:t>
      </w:r>
      <w:r w:rsidRPr="00714310">
        <w:rPr>
          <w:rFonts w:cs="Arial"/>
          <w:szCs w:val="24"/>
        </w:rPr>
        <w:t xml:space="preserve"> </w:t>
      </w:r>
      <w:r w:rsidRPr="00714310">
        <w:rPr>
          <w:rFonts w:cs="Arial"/>
          <w:i/>
          <w:szCs w:val="24"/>
        </w:rPr>
        <w:t>(IIF)</w:t>
      </w:r>
      <w:r w:rsidRPr="00714310">
        <w:rPr>
          <w:rFonts w:cs="Arial"/>
          <w:szCs w:val="24"/>
        </w:rPr>
        <w:t xml:space="preserve"> where they make strong progress in delivering the service specifications. The IIF is worth £75m in 2020/21, rising to £300m in 2023/24</w:t>
      </w:r>
      <w:r w:rsidRPr="00714310">
        <w:rPr>
          <w:rFonts w:cs="Arial"/>
          <w:b/>
          <w:szCs w:val="24"/>
        </w:rPr>
        <w:t xml:space="preserve">.  </w:t>
      </w:r>
      <w:r w:rsidR="00A109DE" w:rsidRPr="00714310">
        <w:rPr>
          <w:rFonts w:cs="Arial"/>
          <w:b/>
          <w:szCs w:val="24"/>
        </w:rPr>
        <w:t>A</w:t>
      </w:r>
      <w:r w:rsidRPr="00714310">
        <w:rPr>
          <w:rFonts w:cs="Arial"/>
          <w:b/>
          <w:szCs w:val="24"/>
        </w:rPr>
        <w:t xml:space="preserve">n average PCN could secure funding of </w:t>
      </w:r>
      <w:r w:rsidR="00926E1B" w:rsidRPr="00714310">
        <w:rPr>
          <w:rFonts w:cs="Arial"/>
          <w:b/>
          <w:szCs w:val="24"/>
        </w:rPr>
        <w:t>c.</w:t>
      </w:r>
      <w:r w:rsidRPr="00714310">
        <w:rPr>
          <w:rFonts w:cs="Arial"/>
          <w:b/>
          <w:szCs w:val="24"/>
        </w:rPr>
        <w:t>£</w:t>
      </w:r>
      <w:r w:rsidR="00926E1B" w:rsidRPr="00714310">
        <w:rPr>
          <w:rFonts w:cs="Arial"/>
          <w:b/>
          <w:szCs w:val="24"/>
        </w:rPr>
        <w:t>60,000</w:t>
      </w:r>
      <w:r w:rsidRPr="00714310">
        <w:rPr>
          <w:rFonts w:cs="Arial"/>
          <w:b/>
          <w:szCs w:val="24"/>
        </w:rPr>
        <w:t xml:space="preserve"> in 2020/21, rising to an additional </w:t>
      </w:r>
      <w:r w:rsidR="00926E1B" w:rsidRPr="00714310">
        <w:rPr>
          <w:rFonts w:cs="Arial"/>
          <w:b/>
          <w:szCs w:val="24"/>
        </w:rPr>
        <w:t>c.</w:t>
      </w:r>
      <w:r w:rsidRPr="00714310">
        <w:rPr>
          <w:rFonts w:cs="Arial"/>
          <w:b/>
          <w:szCs w:val="24"/>
        </w:rPr>
        <w:t>£</w:t>
      </w:r>
      <w:r w:rsidR="00926E1B" w:rsidRPr="00714310">
        <w:rPr>
          <w:rFonts w:cs="Arial"/>
          <w:b/>
          <w:szCs w:val="24"/>
        </w:rPr>
        <w:t>240,000</w:t>
      </w:r>
      <w:r w:rsidRPr="00714310">
        <w:rPr>
          <w:rFonts w:cs="Arial"/>
          <w:b/>
          <w:szCs w:val="24"/>
        </w:rPr>
        <w:t xml:space="preserve"> by 2023/24</w:t>
      </w:r>
      <w:r w:rsidR="00A109DE" w:rsidRPr="00714310">
        <w:rPr>
          <w:rFonts w:cs="Arial"/>
          <w:szCs w:val="24"/>
        </w:rPr>
        <w:t>.</w:t>
      </w:r>
    </w:p>
    <w:p w14:paraId="179BEA22" w14:textId="77777777" w:rsidR="00714310" w:rsidRPr="00714310" w:rsidRDefault="00714310" w:rsidP="007305A1">
      <w:pPr>
        <w:pStyle w:val="ListParagraph"/>
        <w:ind w:left="567" w:hanging="567"/>
        <w:rPr>
          <w:rFonts w:cs="Arial"/>
          <w:szCs w:val="24"/>
          <w:shd w:val="clear" w:color="auto" w:fill="FFFFFF"/>
        </w:rPr>
      </w:pPr>
    </w:p>
    <w:p w14:paraId="6FD854D9" w14:textId="1FA64D4D" w:rsidR="0043313C" w:rsidRPr="00714310" w:rsidRDefault="000C3A79" w:rsidP="007305A1">
      <w:pPr>
        <w:pStyle w:val="ListParagraph"/>
        <w:numPr>
          <w:ilvl w:val="1"/>
          <w:numId w:val="45"/>
        </w:numPr>
        <w:spacing w:line="276" w:lineRule="auto"/>
        <w:ind w:left="567" w:hanging="567"/>
        <w:rPr>
          <w:rFonts w:cs="Arial"/>
          <w:szCs w:val="24"/>
        </w:rPr>
      </w:pPr>
      <w:r w:rsidRPr="00714310">
        <w:rPr>
          <w:rFonts w:cs="Arial"/>
          <w:szCs w:val="24"/>
          <w:shd w:val="clear" w:color="auto" w:fill="FFFFFF"/>
        </w:rPr>
        <w:t xml:space="preserve">Alongside PCNs, </w:t>
      </w:r>
      <w:r w:rsidRPr="00714310">
        <w:rPr>
          <w:rFonts w:cs="Arial"/>
          <w:b/>
          <w:szCs w:val="24"/>
          <w:shd w:val="clear" w:color="auto" w:fill="FFFFFF"/>
        </w:rPr>
        <w:t>community services providers will also see significant funding increases over the next five years and</w:t>
      </w:r>
      <w:r w:rsidR="00273EC4">
        <w:rPr>
          <w:rFonts w:cs="Arial"/>
          <w:b/>
          <w:szCs w:val="24"/>
          <w:shd w:val="clear" w:color="auto" w:fill="FFFFFF"/>
        </w:rPr>
        <w:t>, under our proposals,</w:t>
      </w:r>
      <w:r w:rsidRPr="00714310">
        <w:rPr>
          <w:rFonts w:cs="Arial"/>
          <w:b/>
          <w:szCs w:val="24"/>
          <w:shd w:val="clear" w:color="auto" w:fill="FFFFFF"/>
        </w:rPr>
        <w:t xml:space="preserve"> will take a significant role in co-delivery in two of the service specs for Enhanced Health in Care Homes and Anticipatory Care</w:t>
      </w:r>
      <w:r w:rsidRPr="00714310">
        <w:rPr>
          <w:rFonts w:cs="Arial"/>
          <w:szCs w:val="24"/>
          <w:shd w:val="clear" w:color="auto" w:fill="FFFFFF"/>
        </w:rPr>
        <w:t xml:space="preserve"> </w:t>
      </w:r>
      <w:r w:rsidR="00BC5FE2">
        <w:rPr>
          <w:rFonts w:cs="Arial"/>
          <w:szCs w:val="24"/>
          <w:shd w:val="clear" w:color="auto" w:fill="FFFFFF"/>
        </w:rPr>
        <w:t>(via the</w:t>
      </w:r>
      <w:r w:rsidR="00273EC4">
        <w:rPr>
          <w:rFonts w:cs="Arial"/>
          <w:szCs w:val="24"/>
          <w:shd w:val="clear" w:color="auto" w:fill="FFFFFF"/>
        </w:rPr>
        <w:t xml:space="preserve"> proposed </w:t>
      </w:r>
      <w:r w:rsidR="00BC5FE2">
        <w:rPr>
          <w:rFonts w:cs="Arial"/>
          <w:szCs w:val="24"/>
          <w:shd w:val="clear" w:color="auto" w:fill="FFFFFF"/>
        </w:rPr>
        <w:t xml:space="preserve">NHS Standard Contract) </w:t>
      </w:r>
      <w:r w:rsidRPr="00714310">
        <w:rPr>
          <w:rFonts w:cs="Arial"/>
          <w:szCs w:val="24"/>
          <w:shd w:val="clear" w:color="auto" w:fill="FFFFFF"/>
        </w:rPr>
        <w:t xml:space="preserve">– enabling the development of an integrated multidisciplinary team to take forward the requirements in the outline specifications as a shared endeavour across different partners. </w:t>
      </w:r>
      <w:r w:rsidR="00BC5FE2">
        <w:rPr>
          <w:rFonts w:cs="Arial"/>
          <w:szCs w:val="24"/>
          <w:shd w:val="clear" w:color="auto" w:fill="FFFFFF"/>
        </w:rPr>
        <w:t>Consultation on the NHS Standard Contract will take place December 2019 – January 2020.</w:t>
      </w:r>
    </w:p>
    <w:p w14:paraId="593C0CEE" w14:textId="77777777" w:rsidR="000C3A79" w:rsidRPr="0019261D" w:rsidRDefault="000C3A79" w:rsidP="001D6515">
      <w:pPr>
        <w:pStyle w:val="ListParagraph"/>
        <w:spacing w:line="276" w:lineRule="auto"/>
        <w:ind w:left="567"/>
      </w:pPr>
    </w:p>
    <w:p w14:paraId="6FC8E94A" w14:textId="02529275" w:rsidR="008C12FA" w:rsidRDefault="000C3A79" w:rsidP="00273EC4">
      <w:pPr>
        <w:spacing w:after="0" w:line="276" w:lineRule="auto"/>
        <w:rPr>
          <w:rFonts w:cs="Arial"/>
          <w:i/>
          <w:szCs w:val="24"/>
        </w:rPr>
      </w:pPr>
      <w:r w:rsidRPr="001D6515">
        <w:rPr>
          <w:rFonts w:cs="Arial"/>
          <w:i/>
          <w:szCs w:val="24"/>
        </w:rPr>
        <w:t>Phasing of service requirements</w:t>
      </w:r>
      <w:r w:rsidR="000C4839" w:rsidRPr="001D6515">
        <w:rPr>
          <w:rFonts w:cs="Arial"/>
          <w:i/>
          <w:szCs w:val="24"/>
        </w:rPr>
        <w:t xml:space="preserve"> </w:t>
      </w:r>
    </w:p>
    <w:p w14:paraId="34C93E1D" w14:textId="77777777" w:rsidR="00273EC4" w:rsidRPr="001D6515" w:rsidRDefault="00273EC4" w:rsidP="007305A1">
      <w:pPr>
        <w:spacing w:after="0" w:line="276" w:lineRule="auto"/>
        <w:rPr>
          <w:rFonts w:cs="Arial"/>
          <w:i/>
          <w:szCs w:val="24"/>
        </w:rPr>
      </w:pPr>
    </w:p>
    <w:p w14:paraId="739A255C" w14:textId="26E71210" w:rsidR="00DF603F" w:rsidRPr="00714310" w:rsidRDefault="00DF603F" w:rsidP="00273EC4">
      <w:pPr>
        <w:pStyle w:val="ListParagraph"/>
        <w:numPr>
          <w:ilvl w:val="1"/>
          <w:numId w:val="45"/>
        </w:numPr>
        <w:spacing w:line="276" w:lineRule="auto"/>
        <w:ind w:left="567" w:hanging="567"/>
        <w:rPr>
          <w:rFonts w:cs="Arial"/>
          <w:szCs w:val="24"/>
        </w:rPr>
      </w:pPr>
      <w:bookmarkStart w:id="4" w:name="_Hlk22851909"/>
      <w:r w:rsidRPr="00714310">
        <w:rPr>
          <w:rFonts w:cs="Arial"/>
          <w:b/>
          <w:szCs w:val="24"/>
          <w:shd w:val="clear" w:color="auto" w:fill="FFFFFF"/>
        </w:rPr>
        <w:t xml:space="preserve">NHSE/I </w:t>
      </w:r>
      <w:proofErr w:type="gramStart"/>
      <w:r w:rsidR="00484261" w:rsidRPr="00714310">
        <w:rPr>
          <w:rFonts w:cs="Arial"/>
          <w:b/>
          <w:szCs w:val="24"/>
          <w:shd w:val="clear" w:color="auto" w:fill="FFFFFF"/>
        </w:rPr>
        <w:t>is</w:t>
      </w:r>
      <w:proofErr w:type="gramEnd"/>
      <w:r w:rsidRPr="00714310">
        <w:rPr>
          <w:rFonts w:cs="Arial"/>
          <w:b/>
          <w:szCs w:val="24"/>
          <w:shd w:val="clear" w:color="auto" w:fill="FFFFFF"/>
        </w:rPr>
        <w:t xml:space="preserve"> </w:t>
      </w:r>
      <w:r w:rsidR="00484261" w:rsidRPr="00714310">
        <w:rPr>
          <w:rFonts w:cs="Arial"/>
          <w:b/>
          <w:szCs w:val="24"/>
          <w:shd w:val="clear" w:color="auto" w:fill="FFFFFF"/>
        </w:rPr>
        <w:t xml:space="preserve">proposing to </w:t>
      </w:r>
      <w:r w:rsidRPr="00714310">
        <w:rPr>
          <w:rFonts w:cs="Arial"/>
          <w:b/>
          <w:szCs w:val="24"/>
          <w:shd w:val="clear" w:color="auto" w:fill="FFFFFF"/>
        </w:rPr>
        <w:t>phase in the requirements over time</w:t>
      </w:r>
      <w:r w:rsidRPr="00714310">
        <w:rPr>
          <w:rFonts w:cs="Arial"/>
          <w:szCs w:val="24"/>
          <w:shd w:val="clear" w:color="auto" w:fill="FFFFFF"/>
        </w:rPr>
        <w:t xml:space="preserve"> in order to ensure that</w:t>
      </w:r>
      <w:r w:rsidR="00610BD4" w:rsidRPr="00714310">
        <w:rPr>
          <w:rFonts w:cs="Arial"/>
          <w:szCs w:val="24"/>
          <w:shd w:val="clear" w:color="auto" w:fill="FFFFFF"/>
        </w:rPr>
        <w:t xml:space="preserve"> they are deliverable as PCN workforce capacity grows, and as the wider system infrastructure develops to support them. </w:t>
      </w:r>
      <w:bookmarkEnd w:id="4"/>
      <w:r w:rsidR="00610BD4" w:rsidRPr="00714310">
        <w:rPr>
          <w:rFonts w:cs="Arial"/>
          <w:szCs w:val="24"/>
          <w:shd w:val="clear" w:color="auto" w:fill="FFFFFF"/>
        </w:rPr>
        <w:t>This means</w:t>
      </w:r>
      <w:r w:rsidR="00B37E95" w:rsidRPr="00714310">
        <w:rPr>
          <w:rFonts w:cs="Arial"/>
          <w:szCs w:val="24"/>
          <w:shd w:val="clear" w:color="auto" w:fill="FFFFFF"/>
        </w:rPr>
        <w:t>:</w:t>
      </w:r>
      <w:r w:rsidR="00610BD4" w:rsidRPr="00714310">
        <w:rPr>
          <w:rFonts w:cs="Arial"/>
          <w:szCs w:val="24"/>
          <w:shd w:val="clear" w:color="auto" w:fill="FFFFFF"/>
        </w:rPr>
        <w:t xml:space="preserve"> </w:t>
      </w:r>
    </w:p>
    <w:p w14:paraId="7B981D2D" w14:textId="77777777" w:rsidR="00DF603F" w:rsidRPr="00920DEC" w:rsidRDefault="00DF603F" w:rsidP="00DF603F">
      <w:pPr>
        <w:pStyle w:val="ListParagraph"/>
        <w:rPr>
          <w:rFonts w:cs="Arial"/>
          <w:szCs w:val="24"/>
          <w:shd w:val="clear" w:color="auto" w:fill="FFFFFF"/>
        </w:rPr>
      </w:pPr>
    </w:p>
    <w:p w14:paraId="15A430C6" w14:textId="1D1A54FC" w:rsidR="00271528" w:rsidRPr="00920DEC" w:rsidRDefault="00271528" w:rsidP="000A0F1E">
      <w:pPr>
        <w:pStyle w:val="ListParagraph"/>
        <w:numPr>
          <w:ilvl w:val="0"/>
          <w:numId w:val="5"/>
        </w:numPr>
        <w:spacing w:line="276" w:lineRule="auto"/>
        <w:ind w:left="1418" w:hanging="425"/>
        <w:rPr>
          <w:rFonts w:cs="Arial"/>
          <w:szCs w:val="24"/>
        </w:rPr>
      </w:pPr>
      <w:r w:rsidRPr="00920DEC">
        <w:rPr>
          <w:rFonts w:cs="Arial"/>
          <w:szCs w:val="24"/>
          <w:shd w:val="clear" w:color="auto" w:fill="FFFFFF"/>
        </w:rPr>
        <w:t xml:space="preserve">implementing the requirements of two of the five specifications (Structured Medication Reviews and Optimisation, Enhanced Health in Care Homes) in </w:t>
      </w:r>
      <w:proofErr w:type="gramStart"/>
      <w:r w:rsidRPr="00920DEC">
        <w:rPr>
          <w:rFonts w:cs="Arial"/>
          <w:szCs w:val="24"/>
          <w:shd w:val="clear" w:color="auto" w:fill="FFFFFF"/>
        </w:rPr>
        <w:t xml:space="preserve">full </w:t>
      </w:r>
      <w:r w:rsidR="0043313C">
        <w:rPr>
          <w:rFonts w:cs="Arial"/>
          <w:szCs w:val="24"/>
          <w:shd w:val="clear" w:color="auto" w:fill="FFFFFF"/>
        </w:rPr>
        <w:t>from</w:t>
      </w:r>
      <w:proofErr w:type="gramEnd"/>
      <w:r w:rsidR="0043313C">
        <w:rPr>
          <w:rFonts w:cs="Arial"/>
          <w:szCs w:val="24"/>
          <w:shd w:val="clear" w:color="auto" w:fill="FFFFFF"/>
        </w:rPr>
        <w:t xml:space="preserve"> </w:t>
      </w:r>
      <w:r w:rsidRPr="00920DEC">
        <w:rPr>
          <w:rFonts w:cs="Arial"/>
          <w:szCs w:val="24"/>
          <w:shd w:val="clear" w:color="auto" w:fill="FFFFFF"/>
        </w:rPr>
        <w:t>2020</w:t>
      </w:r>
      <w:r w:rsidR="0043313C">
        <w:rPr>
          <w:rFonts w:cs="Arial"/>
          <w:szCs w:val="24"/>
          <w:shd w:val="clear" w:color="auto" w:fill="FFFFFF"/>
        </w:rPr>
        <w:t>/21</w:t>
      </w:r>
      <w:r w:rsidRPr="00920DEC">
        <w:rPr>
          <w:rFonts w:cs="Arial"/>
          <w:szCs w:val="24"/>
          <w:shd w:val="clear" w:color="auto" w:fill="FFFFFF"/>
        </w:rPr>
        <w:t xml:space="preserve">, as agreed in </w:t>
      </w:r>
      <w:r w:rsidR="00E51872" w:rsidRPr="002371B7">
        <w:rPr>
          <w:rFonts w:cs="Arial"/>
          <w:szCs w:val="24"/>
          <w:shd w:val="clear" w:color="auto" w:fill="FFFFFF"/>
        </w:rPr>
        <w:t>the</w:t>
      </w:r>
      <w:r w:rsidR="00E51872">
        <w:rPr>
          <w:rFonts w:cs="Arial"/>
          <w:i/>
          <w:szCs w:val="24"/>
          <w:shd w:val="clear" w:color="auto" w:fill="FFFFFF"/>
        </w:rPr>
        <w:t xml:space="preserve"> </w:t>
      </w:r>
      <w:r w:rsidR="00E51872" w:rsidRPr="002371B7">
        <w:rPr>
          <w:rFonts w:cs="Arial"/>
          <w:szCs w:val="24"/>
          <w:shd w:val="clear" w:color="auto" w:fill="FFFFFF"/>
        </w:rPr>
        <w:t>GP contract framework</w:t>
      </w:r>
      <w:r w:rsidRPr="00920DEC">
        <w:rPr>
          <w:rFonts w:cs="Arial"/>
          <w:szCs w:val="24"/>
          <w:shd w:val="clear" w:color="auto" w:fill="FFFFFF"/>
        </w:rPr>
        <w:t>; and</w:t>
      </w:r>
    </w:p>
    <w:p w14:paraId="56EFE549" w14:textId="77777777" w:rsidR="00E65607" w:rsidRPr="00920DEC" w:rsidRDefault="00E65607" w:rsidP="00E65607">
      <w:pPr>
        <w:pStyle w:val="ListParagraph"/>
        <w:spacing w:line="276" w:lineRule="auto"/>
        <w:ind w:left="1418"/>
        <w:rPr>
          <w:rFonts w:cs="Arial"/>
          <w:szCs w:val="24"/>
        </w:rPr>
      </w:pPr>
    </w:p>
    <w:p w14:paraId="4C3BF4B1" w14:textId="08F1760F" w:rsidR="00271528" w:rsidRPr="00920DEC" w:rsidRDefault="00271528" w:rsidP="000A0F1E">
      <w:pPr>
        <w:pStyle w:val="ListParagraph"/>
        <w:numPr>
          <w:ilvl w:val="0"/>
          <w:numId w:val="5"/>
        </w:numPr>
        <w:spacing w:line="276" w:lineRule="auto"/>
        <w:ind w:left="1418" w:hanging="425"/>
        <w:rPr>
          <w:rFonts w:cs="Arial"/>
          <w:szCs w:val="24"/>
        </w:rPr>
      </w:pPr>
      <w:r w:rsidRPr="00920DEC">
        <w:rPr>
          <w:rFonts w:cs="Arial"/>
          <w:szCs w:val="24"/>
          <w:shd w:val="clear" w:color="auto" w:fill="FFFFFF"/>
        </w:rPr>
        <w:t xml:space="preserve">phasing in the requirements of the Anticipatory Care, Personalised Care and Early Cancer Diagnosis specifications over the period from 2020/21 to 2023/24. For these specifications, we have </w:t>
      </w:r>
      <w:r w:rsidR="00484261">
        <w:rPr>
          <w:rFonts w:cs="Arial"/>
          <w:szCs w:val="24"/>
          <w:shd w:val="clear" w:color="auto" w:fill="FFFFFF"/>
        </w:rPr>
        <w:t>set out a headline</w:t>
      </w:r>
      <w:r w:rsidRPr="00920DEC">
        <w:rPr>
          <w:rFonts w:cs="Arial"/>
          <w:szCs w:val="24"/>
          <w:shd w:val="clear" w:color="auto" w:fill="FFFFFF"/>
        </w:rPr>
        <w:t xml:space="preserve"> trajectory for the requirements over the next four years, with the detail subject to further annual contract negotiations between NHSE/I and GPC England.</w:t>
      </w:r>
    </w:p>
    <w:p w14:paraId="3326F59B" w14:textId="77777777" w:rsidR="00E65607" w:rsidRPr="000C4839" w:rsidRDefault="00E65607" w:rsidP="007305A1">
      <w:pPr>
        <w:tabs>
          <w:tab w:val="left" w:pos="4035"/>
        </w:tabs>
        <w:spacing w:after="0" w:line="276" w:lineRule="auto"/>
        <w:rPr>
          <w:rFonts w:cs="Arial"/>
          <w:i/>
          <w:szCs w:val="24"/>
          <w:shd w:val="clear" w:color="auto" w:fill="FFFFFF"/>
        </w:rPr>
      </w:pPr>
    </w:p>
    <w:p w14:paraId="0A4B7736" w14:textId="2C5D2A5E" w:rsidR="002413A3" w:rsidRDefault="000C4839" w:rsidP="00714310">
      <w:pPr>
        <w:pStyle w:val="ListParagraph"/>
        <w:numPr>
          <w:ilvl w:val="1"/>
          <w:numId w:val="45"/>
        </w:numPr>
        <w:spacing w:line="276" w:lineRule="auto"/>
        <w:ind w:left="567" w:hanging="567"/>
        <w:rPr>
          <w:rFonts w:cs="Arial"/>
          <w:szCs w:val="24"/>
        </w:rPr>
      </w:pPr>
      <w:r w:rsidRPr="001D6515">
        <w:rPr>
          <w:rFonts w:cs="Arial"/>
          <w:b/>
          <w:szCs w:val="24"/>
        </w:rPr>
        <w:t>The</w:t>
      </w:r>
      <w:r w:rsidR="0043313C" w:rsidRPr="001D6515">
        <w:rPr>
          <w:rFonts w:cs="Arial"/>
          <w:b/>
          <w:szCs w:val="24"/>
        </w:rPr>
        <w:t>re are also significant overlaps between the requirements of the</w:t>
      </w:r>
      <w:r w:rsidR="00292247">
        <w:rPr>
          <w:rFonts w:cs="Arial"/>
          <w:b/>
          <w:szCs w:val="24"/>
        </w:rPr>
        <w:t xml:space="preserve"> </w:t>
      </w:r>
      <w:r w:rsidR="0043313C" w:rsidRPr="001D6515">
        <w:rPr>
          <w:rFonts w:cs="Arial"/>
          <w:b/>
          <w:szCs w:val="24"/>
        </w:rPr>
        <w:t>specifications</w:t>
      </w:r>
      <w:r w:rsidR="00292247">
        <w:rPr>
          <w:rFonts w:cs="Arial"/>
          <w:b/>
          <w:szCs w:val="24"/>
        </w:rPr>
        <w:t xml:space="preserve">, as well as </w:t>
      </w:r>
      <w:r w:rsidR="002413A3">
        <w:rPr>
          <w:rFonts w:cs="Arial"/>
          <w:b/>
          <w:szCs w:val="24"/>
        </w:rPr>
        <w:t xml:space="preserve">with other </w:t>
      </w:r>
      <w:r w:rsidR="00292247">
        <w:rPr>
          <w:rFonts w:cs="Arial"/>
          <w:b/>
          <w:szCs w:val="24"/>
        </w:rPr>
        <w:t xml:space="preserve">elements of the </w:t>
      </w:r>
      <w:r w:rsidR="002413A3">
        <w:rPr>
          <w:rFonts w:cs="Arial"/>
          <w:b/>
          <w:szCs w:val="24"/>
        </w:rPr>
        <w:t>wider GP</w:t>
      </w:r>
      <w:r w:rsidR="00292247">
        <w:rPr>
          <w:rFonts w:cs="Arial"/>
          <w:b/>
          <w:szCs w:val="24"/>
        </w:rPr>
        <w:t xml:space="preserve"> contract</w:t>
      </w:r>
      <w:r w:rsidR="002413A3">
        <w:rPr>
          <w:rFonts w:cs="Arial"/>
          <w:b/>
          <w:szCs w:val="24"/>
        </w:rPr>
        <w:t xml:space="preserve"> package</w:t>
      </w:r>
      <w:r w:rsidR="0043313C">
        <w:rPr>
          <w:rFonts w:cs="Arial"/>
          <w:szCs w:val="24"/>
        </w:rPr>
        <w:t xml:space="preserve">: </w:t>
      </w:r>
    </w:p>
    <w:p w14:paraId="66346B01" w14:textId="77777777" w:rsidR="002413A3" w:rsidRDefault="002413A3" w:rsidP="002413A3">
      <w:pPr>
        <w:pStyle w:val="ListParagraph"/>
        <w:spacing w:line="276" w:lineRule="auto"/>
        <w:ind w:left="567"/>
        <w:rPr>
          <w:rFonts w:cs="Arial"/>
          <w:szCs w:val="24"/>
        </w:rPr>
      </w:pPr>
    </w:p>
    <w:p w14:paraId="78A903D6" w14:textId="04BFAF5A" w:rsidR="000C4839" w:rsidRDefault="002413A3" w:rsidP="002413A3">
      <w:pPr>
        <w:pStyle w:val="ListParagraph"/>
        <w:numPr>
          <w:ilvl w:val="0"/>
          <w:numId w:val="55"/>
        </w:numPr>
        <w:spacing w:line="276" w:lineRule="auto"/>
        <w:rPr>
          <w:rFonts w:cs="Arial"/>
          <w:szCs w:val="24"/>
        </w:rPr>
      </w:pPr>
      <w:r>
        <w:rPr>
          <w:rFonts w:cs="Arial"/>
          <w:szCs w:val="24"/>
        </w:rPr>
        <w:t>A</w:t>
      </w:r>
      <w:r w:rsidR="000C4839">
        <w:rPr>
          <w:rFonts w:cs="Arial"/>
          <w:szCs w:val="24"/>
        </w:rPr>
        <w:t xml:space="preserve"> significant proportion of the individuals who we propose </w:t>
      </w:r>
      <w:r w:rsidR="0043313C">
        <w:rPr>
          <w:rFonts w:cs="Arial"/>
          <w:szCs w:val="24"/>
        </w:rPr>
        <w:t>should benefit from a structured medication review will be care home residents</w:t>
      </w:r>
      <w:r w:rsidR="00755E9D">
        <w:rPr>
          <w:rFonts w:cs="Arial"/>
          <w:szCs w:val="24"/>
        </w:rPr>
        <w:t xml:space="preserve"> for many PCNs</w:t>
      </w:r>
      <w:r w:rsidR="0043313C">
        <w:rPr>
          <w:rFonts w:cs="Arial"/>
          <w:szCs w:val="24"/>
        </w:rPr>
        <w:t xml:space="preserve">. </w:t>
      </w:r>
    </w:p>
    <w:p w14:paraId="48B6BDED" w14:textId="77777777" w:rsidR="00273EC4" w:rsidRDefault="00273EC4" w:rsidP="007305A1">
      <w:pPr>
        <w:pStyle w:val="ListParagraph"/>
        <w:spacing w:line="276" w:lineRule="auto"/>
        <w:ind w:left="1287"/>
        <w:rPr>
          <w:rFonts w:cs="Arial"/>
          <w:szCs w:val="24"/>
        </w:rPr>
      </w:pPr>
    </w:p>
    <w:p w14:paraId="08CCAF9D" w14:textId="34F44339" w:rsidR="00241DFA" w:rsidRDefault="00241DFA" w:rsidP="00241DFA">
      <w:pPr>
        <w:pStyle w:val="ListParagraph"/>
        <w:numPr>
          <w:ilvl w:val="0"/>
          <w:numId w:val="55"/>
        </w:numPr>
        <w:spacing w:line="276" w:lineRule="auto"/>
        <w:rPr>
          <w:rFonts w:cs="Arial"/>
          <w:szCs w:val="24"/>
        </w:rPr>
      </w:pPr>
      <w:r>
        <w:rPr>
          <w:rFonts w:cs="Arial"/>
          <w:szCs w:val="24"/>
        </w:rPr>
        <w:t>Delivery of the requirements in the Early Cancer Diagnosis specification will support practices’ completion of the relevant Quality Improvement (QI) module of the 2020/21 Quality and Outcomes Framework (Q</w:t>
      </w:r>
      <w:r w:rsidR="00E70016">
        <w:rPr>
          <w:rFonts w:cs="Arial"/>
          <w:szCs w:val="24"/>
        </w:rPr>
        <w:t>O</w:t>
      </w:r>
      <w:r>
        <w:rPr>
          <w:rFonts w:cs="Arial"/>
          <w:szCs w:val="24"/>
        </w:rPr>
        <w:t>F). Similarly, efforts made by practices and networks to fulfil the Prescribing Safety QI module in 2019/20 will facilitate their ability to meet the elements of the structured medication review and optimisation specification.</w:t>
      </w:r>
    </w:p>
    <w:p w14:paraId="78FC7976" w14:textId="77777777" w:rsidR="00241DFA" w:rsidRDefault="00241DFA" w:rsidP="00241DFA">
      <w:pPr>
        <w:pStyle w:val="ListParagraph"/>
        <w:spacing w:line="276" w:lineRule="auto"/>
        <w:ind w:left="1287"/>
        <w:rPr>
          <w:rFonts w:cs="Arial"/>
          <w:szCs w:val="24"/>
        </w:rPr>
      </w:pPr>
    </w:p>
    <w:p w14:paraId="6B03A90A" w14:textId="77777777" w:rsidR="000C3A79" w:rsidRDefault="000C3A79" w:rsidP="0047290A">
      <w:pPr>
        <w:spacing w:after="0" w:line="276" w:lineRule="auto"/>
        <w:rPr>
          <w:rFonts w:cs="Arial"/>
          <w:i/>
          <w:szCs w:val="24"/>
          <w:shd w:val="clear" w:color="auto" w:fill="FFFFFF"/>
        </w:rPr>
      </w:pPr>
      <w:r>
        <w:rPr>
          <w:rFonts w:cs="Arial"/>
          <w:i/>
          <w:szCs w:val="24"/>
          <w:shd w:val="clear" w:color="auto" w:fill="FFFFFF"/>
        </w:rPr>
        <w:t>Support from the wider system</w:t>
      </w:r>
    </w:p>
    <w:p w14:paraId="0678D661" w14:textId="77777777" w:rsidR="00C039A5" w:rsidRDefault="00C039A5" w:rsidP="003E0519">
      <w:pPr>
        <w:spacing w:after="0" w:line="276" w:lineRule="auto"/>
        <w:rPr>
          <w:rFonts w:cs="Arial"/>
          <w:i/>
          <w:szCs w:val="24"/>
          <w:shd w:val="clear" w:color="auto" w:fill="FFFFFF"/>
        </w:rPr>
      </w:pPr>
    </w:p>
    <w:p w14:paraId="64C4F086" w14:textId="33EA549E" w:rsidR="001414EC" w:rsidRDefault="0043313C" w:rsidP="00714310">
      <w:pPr>
        <w:pStyle w:val="ListParagraph"/>
        <w:numPr>
          <w:ilvl w:val="1"/>
          <w:numId w:val="45"/>
        </w:numPr>
        <w:spacing w:line="276" w:lineRule="auto"/>
        <w:ind w:left="567" w:hanging="567"/>
        <w:rPr>
          <w:shd w:val="clear" w:color="auto" w:fill="FFFFFF"/>
        </w:rPr>
      </w:pPr>
      <w:r w:rsidRPr="001D6515">
        <w:rPr>
          <w:rFonts w:cs="Arial"/>
          <w:b/>
          <w:szCs w:val="24"/>
        </w:rPr>
        <w:t xml:space="preserve">The </w:t>
      </w:r>
      <w:r w:rsidR="000C3A79" w:rsidRPr="001D6515">
        <w:rPr>
          <w:rFonts w:cs="Arial"/>
          <w:b/>
          <w:szCs w:val="24"/>
          <w:shd w:val="clear" w:color="auto" w:fill="FFFFFF"/>
        </w:rPr>
        <w:t xml:space="preserve">establishment of </w:t>
      </w:r>
      <w:r w:rsidRPr="001D6515">
        <w:rPr>
          <w:rFonts w:cs="Arial"/>
          <w:b/>
          <w:szCs w:val="24"/>
          <w:shd w:val="clear" w:color="auto" w:fill="FFFFFF"/>
        </w:rPr>
        <w:t xml:space="preserve">PCNs will </w:t>
      </w:r>
      <w:r w:rsidR="000724DE" w:rsidRPr="001D6515">
        <w:rPr>
          <w:rFonts w:cs="Arial"/>
          <w:b/>
          <w:szCs w:val="24"/>
          <w:shd w:val="clear" w:color="auto" w:fill="FFFFFF"/>
        </w:rPr>
        <w:t>improve the links between providers of primary</w:t>
      </w:r>
      <w:r w:rsidR="00A73D36" w:rsidRPr="001D6515">
        <w:rPr>
          <w:rFonts w:cs="Arial"/>
          <w:b/>
          <w:szCs w:val="24"/>
          <w:shd w:val="clear" w:color="auto" w:fill="FFFFFF"/>
        </w:rPr>
        <w:t xml:space="preserve"> and </w:t>
      </w:r>
      <w:r w:rsidR="000724DE" w:rsidRPr="001D6515">
        <w:rPr>
          <w:rFonts w:cs="Arial"/>
          <w:b/>
          <w:szCs w:val="24"/>
          <w:shd w:val="clear" w:color="auto" w:fill="FFFFFF"/>
        </w:rPr>
        <w:t xml:space="preserve">community </w:t>
      </w:r>
      <w:r w:rsidR="00A73D36" w:rsidRPr="001D6515">
        <w:rPr>
          <w:rFonts w:cs="Arial"/>
          <w:b/>
          <w:szCs w:val="24"/>
          <w:shd w:val="clear" w:color="auto" w:fill="FFFFFF"/>
        </w:rPr>
        <w:t xml:space="preserve">services, so that general practice feels much more connected and supported by the </w:t>
      </w:r>
      <w:r w:rsidR="000724DE" w:rsidRPr="001D6515">
        <w:rPr>
          <w:rFonts w:cs="Arial"/>
          <w:b/>
          <w:szCs w:val="24"/>
          <w:shd w:val="clear" w:color="auto" w:fill="FFFFFF"/>
        </w:rPr>
        <w:t>wider NHS system</w:t>
      </w:r>
      <w:r w:rsidR="00A73D36">
        <w:rPr>
          <w:rFonts w:cs="Arial"/>
          <w:szCs w:val="24"/>
          <w:shd w:val="clear" w:color="auto" w:fill="FFFFFF"/>
        </w:rPr>
        <w:t xml:space="preserve">. </w:t>
      </w:r>
      <w:r w:rsidR="00010BC8">
        <w:rPr>
          <w:rFonts w:cs="Arial"/>
          <w:szCs w:val="24"/>
          <w:shd w:val="clear" w:color="auto" w:fill="FFFFFF"/>
        </w:rPr>
        <w:t xml:space="preserve">CCGs will be required to play a major role in helping to co-ordinate and support delivery of the specifications, </w:t>
      </w:r>
      <w:proofErr w:type="gramStart"/>
      <w:r w:rsidR="00010BC8">
        <w:rPr>
          <w:rFonts w:cs="Arial"/>
          <w:szCs w:val="24"/>
          <w:shd w:val="clear" w:color="auto" w:fill="FFFFFF"/>
        </w:rPr>
        <w:t>in particular those</w:t>
      </w:r>
      <w:proofErr w:type="gramEnd"/>
      <w:r w:rsidR="00010BC8">
        <w:rPr>
          <w:rFonts w:cs="Arial"/>
          <w:szCs w:val="24"/>
          <w:shd w:val="clear" w:color="auto" w:fill="FFFFFF"/>
        </w:rPr>
        <w:t xml:space="preserve"> that involve close collaboration with other partners such as the care homes specification. </w:t>
      </w:r>
      <w:r w:rsidR="001414EC">
        <w:rPr>
          <w:rFonts w:cs="Arial"/>
          <w:szCs w:val="24"/>
          <w:shd w:val="clear" w:color="auto" w:fill="FFFFFF"/>
        </w:rPr>
        <w:t xml:space="preserve">CCGs will also </w:t>
      </w:r>
      <w:r w:rsidR="00010BC8">
        <w:rPr>
          <w:rFonts w:cs="Arial"/>
          <w:szCs w:val="24"/>
          <w:shd w:val="clear" w:color="auto" w:fill="FFFFFF"/>
        </w:rPr>
        <w:t xml:space="preserve">support PCNs to develop standard operating processes for their </w:t>
      </w:r>
      <w:proofErr w:type="gramStart"/>
      <w:r w:rsidR="00010BC8">
        <w:rPr>
          <w:rFonts w:cs="Arial"/>
          <w:szCs w:val="24"/>
          <w:shd w:val="clear" w:color="auto" w:fill="FFFFFF"/>
        </w:rPr>
        <w:t>partnership, and</w:t>
      </w:r>
      <w:proofErr w:type="gramEnd"/>
      <w:r w:rsidR="00010BC8">
        <w:rPr>
          <w:rFonts w:cs="Arial"/>
          <w:szCs w:val="24"/>
          <w:shd w:val="clear" w:color="auto" w:fill="FFFFFF"/>
        </w:rPr>
        <w:t xml:space="preserve"> </w:t>
      </w:r>
      <w:r w:rsidR="001414EC">
        <w:rPr>
          <w:rFonts w:cs="Arial"/>
          <w:szCs w:val="24"/>
          <w:shd w:val="clear" w:color="auto" w:fill="FFFFFF"/>
        </w:rPr>
        <w:t xml:space="preserve">ensure a clear and agreed contribution </w:t>
      </w:r>
      <w:r w:rsidR="00010BC8">
        <w:rPr>
          <w:rFonts w:cs="Arial"/>
          <w:szCs w:val="24"/>
          <w:shd w:val="clear" w:color="auto" w:fill="FFFFFF"/>
        </w:rPr>
        <w:t xml:space="preserve">to service delivery </w:t>
      </w:r>
      <w:r w:rsidR="001414EC">
        <w:rPr>
          <w:rFonts w:cs="Arial"/>
          <w:szCs w:val="24"/>
          <w:shd w:val="clear" w:color="auto" w:fill="FFFFFF"/>
        </w:rPr>
        <w:t xml:space="preserve">is made by </w:t>
      </w:r>
      <w:r w:rsidR="000724DE" w:rsidRPr="00A73D36">
        <w:rPr>
          <w:rFonts w:cs="Arial"/>
          <w:szCs w:val="24"/>
          <w:shd w:val="clear" w:color="auto" w:fill="FFFFFF"/>
        </w:rPr>
        <w:t xml:space="preserve">other system partners </w:t>
      </w:r>
      <w:r w:rsidR="001414EC">
        <w:rPr>
          <w:rFonts w:cs="Arial"/>
          <w:szCs w:val="24"/>
          <w:shd w:val="clear" w:color="auto" w:fill="FFFFFF"/>
        </w:rPr>
        <w:t>within Integrated Care Systems (ICSs) – documented in a local agreement</w:t>
      </w:r>
      <w:r w:rsidR="0010670D" w:rsidRPr="00A73D36">
        <w:rPr>
          <w:rFonts w:cs="Arial"/>
          <w:szCs w:val="24"/>
          <w:shd w:val="clear" w:color="auto" w:fill="FFFFFF"/>
        </w:rPr>
        <w:t xml:space="preserve">. </w:t>
      </w:r>
      <w:r w:rsidR="00201083">
        <w:rPr>
          <w:shd w:val="clear" w:color="auto" w:fill="FFFFFF"/>
        </w:rPr>
        <w:t>W</w:t>
      </w:r>
      <w:r w:rsidR="0010670D">
        <w:rPr>
          <w:shd w:val="clear" w:color="auto" w:fill="FFFFFF"/>
        </w:rPr>
        <w:t xml:space="preserve">e will recommend that the Local Medical Committee should be involved in </w:t>
      </w:r>
      <w:r w:rsidR="00980F7F">
        <w:rPr>
          <w:shd w:val="clear" w:color="auto" w:fill="FFFFFF"/>
        </w:rPr>
        <w:t>the</w:t>
      </w:r>
      <w:r w:rsidR="0010670D">
        <w:rPr>
          <w:shd w:val="clear" w:color="auto" w:fill="FFFFFF"/>
        </w:rPr>
        <w:t xml:space="preserve"> development</w:t>
      </w:r>
      <w:r w:rsidR="00980F7F">
        <w:rPr>
          <w:shd w:val="clear" w:color="auto" w:fill="FFFFFF"/>
        </w:rPr>
        <w:t xml:space="preserve"> of the local agreement</w:t>
      </w:r>
      <w:r w:rsidR="0010670D">
        <w:rPr>
          <w:shd w:val="clear" w:color="auto" w:fill="FFFFFF"/>
        </w:rPr>
        <w:t xml:space="preserve">. </w:t>
      </w:r>
    </w:p>
    <w:p w14:paraId="447086A9" w14:textId="77777777" w:rsidR="00292247" w:rsidRDefault="00292247" w:rsidP="00DB181C">
      <w:pPr>
        <w:pStyle w:val="ListParagraph"/>
        <w:spacing w:line="276" w:lineRule="auto"/>
        <w:ind w:left="567"/>
        <w:rPr>
          <w:shd w:val="clear" w:color="auto" w:fill="FFFFFF"/>
        </w:rPr>
      </w:pPr>
    </w:p>
    <w:p w14:paraId="724C21BD" w14:textId="1E1B26AA" w:rsidR="0010670D" w:rsidRDefault="0010670D" w:rsidP="00714310">
      <w:pPr>
        <w:pStyle w:val="ListParagraph"/>
        <w:numPr>
          <w:ilvl w:val="1"/>
          <w:numId w:val="45"/>
        </w:numPr>
        <w:spacing w:line="276" w:lineRule="auto"/>
        <w:ind w:left="567" w:hanging="567"/>
        <w:rPr>
          <w:shd w:val="clear" w:color="auto" w:fill="FFFFFF"/>
        </w:rPr>
      </w:pPr>
      <w:r>
        <w:rPr>
          <w:shd w:val="clear" w:color="auto" w:fill="FFFFFF"/>
        </w:rPr>
        <w:t xml:space="preserve">Where the outline specifications contain requirements for community services providers, </w:t>
      </w:r>
      <w:r w:rsidRPr="007305A1">
        <w:rPr>
          <w:b/>
          <w:shd w:val="clear" w:color="auto" w:fill="FFFFFF"/>
        </w:rPr>
        <w:t>we intend to incorporate these into the NHS Standard Contact from 2020/21</w:t>
      </w:r>
      <w:r>
        <w:rPr>
          <w:shd w:val="clear" w:color="auto" w:fill="FFFFFF"/>
        </w:rPr>
        <w:t xml:space="preserve"> to ensure they are taken forward</w:t>
      </w:r>
      <w:r w:rsidR="00E51872">
        <w:rPr>
          <w:shd w:val="clear" w:color="auto" w:fill="FFFFFF"/>
        </w:rPr>
        <w:t xml:space="preserve"> everywhere in a reliable way</w:t>
      </w:r>
      <w:r>
        <w:rPr>
          <w:shd w:val="clear" w:color="auto" w:fill="FFFFFF"/>
        </w:rPr>
        <w:t>.</w:t>
      </w:r>
    </w:p>
    <w:p w14:paraId="6DB7406D" w14:textId="77777777" w:rsidR="001414EC" w:rsidRDefault="001414EC" w:rsidP="001D6515">
      <w:pPr>
        <w:pStyle w:val="ListParagraph"/>
        <w:spacing w:line="276" w:lineRule="auto"/>
        <w:ind w:left="567"/>
        <w:rPr>
          <w:shd w:val="clear" w:color="auto" w:fill="FFFFFF"/>
        </w:rPr>
      </w:pPr>
    </w:p>
    <w:p w14:paraId="2A2F7DAD" w14:textId="77777777" w:rsidR="001414EC" w:rsidRPr="001414EC" w:rsidRDefault="001414EC" w:rsidP="00714310">
      <w:pPr>
        <w:pStyle w:val="ListParagraph"/>
        <w:numPr>
          <w:ilvl w:val="1"/>
          <w:numId w:val="45"/>
        </w:numPr>
        <w:spacing w:line="276" w:lineRule="auto"/>
        <w:ind w:left="567" w:hanging="567"/>
        <w:rPr>
          <w:shd w:val="clear" w:color="auto" w:fill="FFFFFF"/>
        </w:rPr>
      </w:pPr>
      <w:r>
        <w:rPr>
          <w:shd w:val="clear" w:color="auto" w:fill="FFFFFF"/>
        </w:rPr>
        <w:t xml:space="preserve">In addition, </w:t>
      </w:r>
      <w:r w:rsidR="00B73DB0" w:rsidRPr="007305A1">
        <w:rPr>
          <w:b/>
          <w:shd w:val="clear" w:color="auto" w:fill="FFFFFF"/>
        </w:rPr>
        <w:t>w</w:t>
      </w:r>
      <w:r w:rsidRPr="007305A1">
        <w:rPr>
          <w:b/>
          <w:shd w:val="clear" w:color="auto" w:fill="FFFFFF"/>
        </w:rPr>
        <w:t>here PCNs are struggling to recruit, CCGs and systems should</w:t>
      </w:r>
      <w:r w:rsidR="00B73DB0" w:rsidRPr="007305A1">
        <w:rPr>
          <w:b/>
          <w:shd w:val="clear" w:color="auto" w:fill="FFFFFF"/>
        </w:rPr>
        <w:t xml:space="preserve"> </w:t>
      </w:r>
      <w:proofErr w:type="gramStart"/>
      <w:r w:rsidRPr="007305A1">
        <w:rPr>
          <w:b/>
          <w:shd w:val="clear" w:color="auto" w:fill="FFFFFF"/>
        </w:rPr>
        <w:t>take action</w:t>
      </w:r>
      <w:proofErr w:type="gramEnd"/>
      <w:r w:rsidRPr="007305A1">
        <w:rPr>
          <w:b/>
          <w:shd w:val="clear" w:color="auto" w:fill="FFFFFF"/>
        </w:rPr>
        <w:t xml:space="preserve"> to support them</w:t>
      </w:r>
      <w:r w:rsidR="00B73DB0">
        <w:rPr>
          <w:shd w:val="clear" w:color="auto" w:fill="FFFFFF"/>
        </w:rPr>
        <w:t>. This may include, for example:</w:t>
      </w:r>
    </w:p>
    <w:p w14:paraId="7AF514DC" w14:textId="77777777" w:rsidR="00B73DB0" w:rsidRDefault="00B73DB0" w:rsidP="001D6515">
      <w:pPr>
        <w:pStyle w:val="ListParagraph"/>
        <w:spacing w:line="276" w:lineRule="auto"/>
        <w:ind w:left="1800"/>
        <w:rPr>
          <w:shd w:val="clear" w:color="auto" w:fill="FFFFFF"/>
        </w:rPr>
      </w:pPr>
    </w:p>
    <w:p w14:paraId="272E32E9" w14:textId="77777777" w:rsid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r</w:t>
      </w:r>
      <w:r w:rsidR="001414EC" w:rsidRPr="00B73DB0">
        <w:rPr>
          <w:shd w:val="clear" w:color="auto" w:fill="FFFFFF"/>
        </w:rPr>
        <w:t>unning shared recruitment processes across multiple PCNs, or supporting PCNs to carry out collaborative recruitment; potentially providing management support to PCNs to help them run recruitment processes</w:t>
      </w:r>
      <w:r>
        <w:rPr>
          <w:shd w:val="clear" w:color="auto" w:fill="FFFFFF"/>
        </w:rPr>
        <w:t xml:space="preserve">; </w:t>
      </w:r>
    </w:p>
    <w:p w14:paraId="3263D934" w14:textId="77777777" w:rsidR="00B73DB0" w:rsidRDefault="00B73DB0" w:rsidP="001D6515">
      <w:pPr>
        <w:pStyle w:val="ListParagraph"/>
        <w:spacing w:line="276" w:lineRule="auto"/>
        <w:ind w:left="1418"/>
        <w:rPr>
          <w:shd w:val="clear" w:color="auto" w:fill="FFFFFF"/>
        </w:rPr>
      </w:pPr>
    </w:p>
    <w:p w14:paraId="3B908173" w14:textId="77777777" w:rsid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b</w:t>
      </w:r>
      <w:r w:rsidR="001414EC" w:rsidRPr="00B73DB0">
        <w:rPr>
          <w:shd w:val="clear" w:color="auto" w:fill="FFFFFF"/>
        </w:rPr>
        <w:t>rokering integrated workforce arrangements with other providers, for example through rotational posts</w:t>
      </w:r>
      <w:r>
        <w:rPr>
          <w:shd w:val="clear" w:color="auto" w:fill="FFFFFF"/>
        </w:rPr>
        <w:t>; and</w:t>
      </w:r>
    </w:p>
    <w:p w14:paraId="31C2DF49" w14:textId="77777777" w:rsidR="00B73DB0" w:rsidRPr="00B73DB0" w:rsidRDefault="00B73DB0" w:rsidP="001D6515">
      <w:pPr>
        <w:pStyle w:val="ListParagraph"/>
        <w:rPr>
          <w:shd w:val="clear" w:color="auto" w:fill="FFFFFF"/>
        </w:rPr>
      </w:pPr>
    </w:p>
    <w:p w14:paraId="1BFCCA70" w14:textId="77777777" w:rsidR="001414EC" w:rsidRP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w</w:t>
      </w:r>
      <w:r w:rsidR="001414EC" w:rsidRPr="00B73DB0">
        <w:rPr>
          <w:shd w:val="clear" w:color="auto" w:fill="FFFFFF"/>
        </w:rPr>
        <w:t>orking with local representative groups and other stakeholders to match people to unfilled roles</w:t>
      </w:r>
      <w:r>
        <w:rPr>
          <w:shd w:val="clear" w:color="auto" w:fill="FFFFFF"/>
        </w:rPr>
        <w:t>.</w:t>
      </w:r>
    </w:p>
    <w:p w14:paraId="4BEEF923" w14:textId="77777777" w:rsidR="000724DE" w:rsidRDefault="000724DE" w:rsidP="003E0519">
      <w:pPr>
        <w:spacing w:after="0" w:line="276" w:lineRule="auto"/>
        <w:rPr>
          <w:rFonts w:cs="Arial"/>
          <w:szCs w:val="24"/>
          <w:shd w:val="clear" w:color="auto" w:fill="FFFFFF"/>
        </w:rPr>
      </w:pPr>
    </w:p>
    <w:p w14:paraId="29D89460" w14:textId="77777777" w:rsidR="0010670D" w:rsidRPr="00920DEC" w:rsidRDefault="0010670D" w:rsidP="0010670D">
      <w:pPr>
        <w:spacing w:after="0" w:line="276" w:lineRule="auto"/>
        <w:rPr>
          <w:rFonts w:cs="Arial"/>
          <w:i/>
          <w:szCs w:val="24"/>
          <w:shd w:val="clear" w:color="auto" w:fill="FFFFFF"/>
        </w:rPr>
      </w:pPr>
      <w:r w:rsidRPr="00920DEC">
        <w:rPr>
          <w:rFonts w:cs="Arial"/>
          <w:i/>
          <w:szCs w:val="24"/>
          <w:shd w:val="clear" w:color="auto" w:fill="FFFFFF"/>
        </w:rPr>
        <w:t>Relationship with existing locally commissioned services</w:t>
      </w:r>
    </w:p>
    <w:p w14:paraId="74C0E67C" w14:textId="77777777" w:rsidR="000724DE" w:rsidRPr="001D6515" w:rsidRDefault="000724DE" w:rsidP="003E0519">
      <w:pPr>
        <w:spacing w:after="0" w:line="276" w:lineRule="auto"/>
        <w:rPr>
          <w:rFonts w:cs="Arial"/>
          <w:szCs w:val="24"/>
          <w:shd w:val="clear" w:color="auto" w:fill="FFFFFF"/>
        </w:rPr>
      </w:pPr>
    </w:p>
    <w:p w14:paraId="27572B6B" w14:textId="77777777" w:rsidR="00612D82" w:rsidRPr="00920DEC" w:rsidRDefault="00612D82" w:rsidP="00714310">
      <w:pPr>
        <w:pStyle w:val="ListParagraph"/>
        <w:numPr>
          <w:ilvl w:val="1"/>
          <w:numId w:val="45"/>
        </w:numPr>
        <w:spacing w:line="276" w:lineRule="auto"/>
        <w:ind w:left="567" w:hanging="567"/>
        <w:rPr>
          <w:rFonts w:cs="Arial"/>
          <w:szCs w:val="24"/>
        </w:rPr>
      </w:pPr>
      <w:r w:rsidRPr="00920DEC">
        <w:rPr>
          <w:rFonts w:cs="Arial"/>
          <w:szCs w:val="24"/>
          <w:shd w:val="clear" w:color="auto" w:fill="FFFFFF"/>
        </w:rPr>
        <w:t xml:space="preserve">We recognise that, for some of the specifications, a locally commissioned service may already exist which covers some or all of the proposed requirements set out in this document. </w:t>
      </w:r>
      <w:r w:rsidRPr="008A0475">
        <w:rPr>
          <w:rFonts w:cs="Arial"/>
          <w:b/>
          <w:szCs w:val="24"/>
          <w:shd w:val="clear" w:color="auto" w:fill="FFFFFF"/>
        </w:rPr>
        <w:t>These proposals are in draft: Clinical Commissioning Groups (CCGs) should not, therefore, take final decisions about existing locally commissioned services until the final Network Contract DES for 2020/21 is published</w:t>
      </w:r>
      <w:r w:rsidR="00E316FC">
        <w:rPr>
          <w:rFonts w:cs="Arial"/>
          <w:b/>
          <w:szCs w:val="24"/>
          <w:shd w:val="clear" w:color="auto" w:fill="FFFFFF"/>
        </w:rPr>
        <w:t>.</w:t>
      </w:r>
    </w:p>
    <w:p w14:paraId="562971D3" w14:textId="77777777" w:rsidR="00612D82" w:rsidRPr="00920DEC" w:rsidRDefault="00612D82" w:rsidP="00612D82">
      <w:pPr>
        <w:pStyle w:val="ListParagraph"/>
        <w:spacing w:line="276" w:lineRule="auto"/>
        <w:ind w:left="567"/>
        <w:rPr>
          <w:rFonts w:cs="Arial"/>
          <w:szCs w:val="24"/>
        </w:rPr>
      </w:pPr>
    </w:p>
    <w:p w14:paraId="0F009036" w14:textId="1C289B35" w:rsidR="00DF79FD" w:rsidRPr="00920DEC" w:rsidRDefault="00612D82" w:rsidP="00714310">
      <w:pPr>
        <w:pStyle w:val="ListParagraph"/>
        <w:numPr>
          <w:ilvl w:val="1"/>
          <w:numId w:val="45"/>
        </w:numPr>
        <w:spacing w:line="276" w:lineRule="auto"/>
        <w:ind w:left="567" w:hanging="567"/>
        <w:rPr>
          <w:rFonts w:cs="Arial"/>
          <w:szCs w:val="24"/>
        </w:rPr>
      </w:pPr>
      <w:r w:rsidRPr="00920DEC">
        <w:rPr>
          <w:rFonts w:cs="Arial"/>
          <w:szCs w:val="24"/>
          <w:shd w:val="clear" w:color="auto" w:fill="FFFFFF"/>
        </w:rPr>
        <w:t xml:space="preserve">Once these specifications have been finalised, </w:t>
      </w:r>
      <w:r w:rsidRPr="007305A1">
        <w:rPr>
          <w:rFonts w:cs="Arial"/>
          <w:b/>
          <w:szCs w:val="24"/>
          <w:shd w:val="clear" w:color="auto" w:fill="FFFFFF"/>
        </w:rPr>
        <w:t xml:space="preserve">CCGs </w:t>
      </w:r>
      <w:r w:rsidR="00DF79FD" w:rsidRPr="007305A1">
        <w:rPr>
          <w:rFonts w:cs="Arial"/>
          <w:b/>
          <w:szCs w:val="24"/>
          <w:shd w:val="clear" w:color="auto" w:fill="FFFFFF"/>
        </w:rPr>
        <w:t>should work with PCNs, community services providers, Local Medical Committees (LMCs), and other stakeholders to support the transition – and, where required, enhancement – of existing local service arrangements</w:t>
      </w:r>
      <w:r w:rsidR="00DF79FD" w:rsidRPr="00920DEC">
        <w:rPr>
          <w:rFonts w:cs="Arial"/>
          <w:szCs w:val="24"/>
          <w:shd w:val="clear" w:color="auto" w:fill="FFFFFF"/>
        </w:rPr>
        <w:t xml:space="preserve"> to meet the new requirements whilst avoiding the unwarranted destabilisation of existing provision. </w:t>
      </w:r>
      <w:r w:rsidR="00AF0728">
        <w:rPr>
          <w:rFonts w:cs="Arial"/>
          <w:szCs w:val="24"/>
          <w:shd w:val="clear" w:color="auto" w:fill="FFFFFF"/>
        </w:rPr>
        <w:t>W</w:t>
      </w:r>
      <w:r w:rsidR="00AF0728" w:rsidRPr="00AF0728">
        <w:rPr>
          <w:rFonts w:cs="Arial"/>
          <w:szCs w:val="24"/>
          <w:shd w:val="clear" w:color="auto" w:fill="FFFFFF"/>
        </w:rPr>
        <w:t xml:space="preserve">e would expect CCGs to </w:t>
      </w:r>
      <w:proofErr w:type="gramStart"/>
      <w:r w:rsidR="00AF0728" w:rsidRPr="00AF0728">
        <w:rPr>
          <w:rFonts w:cs="Arial"/>
          <w:szCs w:val="24"/>
          <w:shd w:val="clear" w:color="auto" w:fill="FFFFFF"/>
        </w:rPr>
        <w:t>make an assessment of</w:t>
      </w:r>
      <w:proofErr w:type="gramEnd"/>
      <w:r w:rsidR="00AF0728" w:rsidRPr="00AF0728">
        <w:rPr>
          <w:rFonts w:cs="Arial"/>
          <w:szCs w:val="24"/>
          <w:shd w:val="clear" w:color="auto" w:fill="FFFFFF"/>
        </w:rPr>
        <w:t xml:space="preserve"> any investment that they continue to make in these areas, recognising that particularly as the expectations of the specifications rise up to </w:t>
      </w:r>
      <w:r w:rsidR="00980F7F">
        <w:rPr>
          <w:rFonts w:cs="Arial"/>
          <w:szCs w:val="24"/>
          <w:shd w:val="clear" w:color="auto" w:fill="FFFFFF"/>
        </w:rPr>
        <w:t>20</w:t>
      </w:r>
      <w:r w:rsidR="00AF0728" w:rsidRPr="00AF0728">
        <w:rPr>
          <w:rFonts w:cs="Arial"/>
          <w:szCs w:val="24"/>
          <w:shd w:val="clear" w:color="auto" w:fill="FFFFFF"/>
        </w:rPr>
        <w:t xml:space="preserve">23/24, </w:t>
      </w:r>
      <w:r w:rsidR="00010BC8">
        <w:rPr>
          <w:rFonts w:cs="Arial"/>
          <w:szCs w:val="24"/>
          <w:shd w:val="clear" w:color="auto" w:fill="FFFFFF"/>
        </w:rPr>
        <w:t>it may in the meantime</w:t>
      </w:r>
      <w:r w:rsidR="00AF0728" w:rsidRPr="00AF0728">
        <w:rPr>
          <w:rFonts w:cs="Arial"/>
          <w:szCs w:val="24"/>
          <w:shd w:val="clear" w:color="auto" w:fill="FFFFFF"/>
        </w:rPr>
        <w:t xml:space="preserve"> be appropriate for them to </w:t>
      </w:r>
      <w:r w:rsidR="0023374C">
        <w:rPr>
          <w:rFonts w:cs="Arial"/>
          <w:szCs w:val="24"/>
          <w:shd w:val="clear" w:color="auto" w:fill="FFFFFF"/>
        </w:rPr>
        <w:t>maintain</w:t>
      </w:r>
      <w:r w:rsidR="00AF0728" w:rsidRPr="00AF0728">
        <w:rPr>
          <w:rFonts w:cs="Arial"/>
          <w:szCs w:val="24"/>
          <w:shd w:val="clear" w:color="auto" w:fill="FFFFFF"/>
        </w:rPr>
        <w:t xml:space="preserve"> </w:t>
      </w:r>
      <w:r w:rsidR="002A7B36">
        <w:rPr>
          <w:rFonts w:cs="Arial"/>
          <w:szCs w:val="24"/>
          <w:shd w:val="clear" w:color="auto" w:fill="FFFFFF"/>
        </w:rPr>
        <w:t xml:space="preserve">delivery of a service </w:t>
      </w:r>
      <w:r w:rsidR="0023374C">
        <w:rPr>
          <w:rFonts w:cs="Arial"/>
          <w:szCs w:val="24"/>
          <w:shd w:val="clear" w:color="auto" w:fill="FFFFFF"/>
        </w:rPr>
        <w:t>where it currently</w:t>
      </w:r>
      <w:r w:rsidR="002A7B36">
        <w:rPr>
          <w:rFonts w:cs="Arial"/>
          <w:szCs w:val="24"/>
          <w:shd w:val="clear" w:color="auto" w:fill="FFFFFF"/>
        </w:rPr>
        <w:t xml:space="preserve"> exceeds</w:t>
      </w:r>
      <w:r w:rsidR="00AF0728" w:rsidRPr="00AF0728">
        <w:rPr>
          <w:rFonts w:cs="Arial"/>
          <w:szCs w:val="24"/>
          <w:shd w:val="clear" w:color="auto" w:fill="FFFFFF"/>
        </w:rPr>
        <w:t xml:space="preserve"> the national requirements</w:t>
      </w:r>
      <w:r w:rsidR="001317C7">
        <w:rPr>
          <w:rFonts w:cs="Arial"/>
          <w:szCs w:val="24"/>
          <w:shd w:val="clear" w:color="auto" w:fill="FFFFFF"/>
        </w:rPr>
        <w:t xml:space="preserve"> for 2020/21</w:t>
      </w:r>
      <w:r w:rsidR="00AF0728" w:rsidRPr="00AF0728">
        <w:rPr>
          <w:rFonts w:cs="Arial"/>
          <w:szCs w:val="24"/>
          <w:shd w:val="clear" w:color="auto" w:fill="FFFFFF"/>
        </w:rPr>
        <w:t>.</w:t>
      </w:r>
    </w:p>
    <w:p w14:paraId="23A911F4" w14:textId="77777777" w:rsidR="00DF79FD" w:rsidRPr="00920DEC" w:rsidRDefault="00DF79FD" w:rsidP="00DF79FD">
      <w:pPr>
        <w:pStyle w:val="ListParagraph"/>
        <w:rPr>
          <w:rFonts w:cs="Arial"/>
          <w:szCs w:val="24"/>
          <w:shd w:val="clear" w:color="auto" w:fill="FFFFFF"/>
        </w:rPr>
      </w:pPr>
    </w:p>
    <w:p w14:paraId="2822892C" w14:textId="7912EEA4" w:rsidR="00DF79FD" w:rsidRPr="00920DEC" w:rsidRDefault="008A0475" w:rsidP="00714310">
      <w:pPr>
        <w:pStyle w:val="ListParagraph"/>
        <w:numPr>
          <w:ilvl w:val="1"/>
          <w:numId w:val="45"/>
        </w:numPr>
        <w:spacing w:line="276" w:lineRule="auto"/>
        <w:ind w:left="567" w:hanging="567"/>
        <w:rPr>
          <w:rFonts w:cs="Arial"/>
          <w:szCs w:val="24"/>
          <w:shd w:val="clear" w:color="auto" w:fill="FFFFFF"/>
        </w:rPr>
      </w:pPr>
      <w:r w:rsidRPr="008A0475">
        <w:rPr>
          <w:rFonts w:cs="Arial"/>
          <w:b/>
          <w:szCs w:val="24"/>
          <w:shd w:val="clear" w:color="auto" w:fill="FFFFFF"/>
        </w:rPr>
        <w:t>F</w:t>
      </w:r>
      <w:r w:rsidR="00DF79FD" w:rsidRPr="008A0475">
        <w:rPr>
          <w:rFonts w:cs="Arial"/>
          <w:b/>
          <w:szCs w:val="24"/>
          <w:shd w:val="clear" w:color="auto" w:fill="FFFFFF"/>
        </w:rPr>
        <w:t>unding previously invested by CCGs in</w:t>
      </w:r>
      <w:r w:rsidR="00DF79FD" w:rsidRPr="008A0475">
        <w:rPr>
          <w:b/>
        </w:rPr>
        <w:t xml:space="preserve"> </w:t>
      </w:r>
      <w:r w:rsidR="00DF79FD" w:rsidRPr="008A0475">
        <w:rPr>
          <w:rFonts w:cs="Arial"/>
          <w:b/>
          <w:szCs w:val="24"/>
          <w:shd w:val="clear" w:color="auto" w:fill="FFFFFF"/>
        </w:rPr>
        <w:t xml:space="preserve">local service provision which is delivered through </w:t>
      </w:r>
      <w:r w:rsidR="00E51872">
        <w:rPr>
          <w:rFonts w:cs="Arial"/>
          <w:b/>
          <w:szCs w:val="24"/>
          <w:shd w:val="clear" w:color="auto" w:fill="FFFFFF"/>
        </w:rPr>
        <w:t>national</w:t>
      </w:r>
      <w:r w:rsidR="00E51872" w:rsidRPr="008A0475">
        <w:rPr>
          <w:rFonts w:cs="Arial"/>
          <w:b/>
          <w:szCs w:val="24"/>
          <w:shd w:val="clear" w:color="auto" w:fill="FFFFFF"/>
        </w:rPr>
        <w:t xml:space="preserve"> </w:t>
      </w:r>
      <w:r w:rsidR="00DF79FD" w:rsidRPr="008A0475">
        <w:rPr>
          <w:rFonts w:cs="Arial"/>
          <w:b/>
          <w:szCs w:val="24"/>
          <w:shd w:val="clear" w:color="auto" w:fill="FFFFFF"/>
        </w:rPr>
        <w:t xml:space="preserve">specifications in 2020/21 should be reinvested within primary medical care and community services </w:t>
      </w:r>
      <w:proofErr w:type="gramStart"/>
      <w:r w:rsidR="00DF79FD" w:rsidRPr="008A0475">
        <w:rPr>
          <w:rFonts w:cs="Arial"/>
          <w:b/>
          <w:szCs w:val="24"/>
          <w:shd w:val="clear" w:color="auto" w:fill="FFFFFF"/>
        </w:rPr>
        <w:t>in order to</w:t>
      </w:r>
      <w:proofErr w:type="gramEnd"/>
      <w:r w:rsidR="00DF79FD" w:rsidRPr="008A0475">
        <w:rPr>
          <w:rFonts w:cs="Arial"/>
          <w:b/>
          <w:szCs w:val="24"/>
          <w:shd w:val="clear" w:color="auto" w:fill="FFFFFF"/>
        </w:rPr>
        <w:t xml:space="preserve"> deliver the £4.5bn additional funding guarantee for these services.</w:t>
      </w:r>
      <w:r w:rsidR="00DF79FD" w:rsidRPr="00920DEC">
        <w:rPr>
          <w:rFonts w:cs="Arial"/>
          <w:szCs w:val="24"/>
          <w:shd w:val="clear" w:color="auto" w:fill="FFFFFF"/>
        </w:rPr>
        <w:t xml:space="preserve"> NHSE/I will be </w:t>
      </w:r>
      <w:r w:rsidR="00C65955">
        <w:rPr>
          <w:rFonts w:cs="Arial"/>
          <w:szCs w:val="24"/>
          <w:shd w:val="clear" w:color="auto" w:fill="FFFFFF"/>
        </w:rPr>
        <w:t xml:space="preserve">collecting data on current spend and discussing how to ensure that the transition to </w:t>
      </w:r>
      <w:r w:rsidR="00E70016">
        <w:rPr>
          <w:rFonts w:cs="Arial"/>
          <w:szCs w:val="24"/>
          <w:shd w:val="clear" w:color="auto" w:fill="FFFFFF"/>
        </w:rPr>
        <w:t xml:space="preserve">the </w:t>
      </w:r>
      <w:r w:rsidR="00C65955">
        <w:rPr>
          <w:rFonts w:cs="Arial"/>
          <w:szCs w:val="24"/>
          <w:shd w:val="clear" w:color="auto" w:fill="FFFFFF"/>
        </w:rPr>
        <w:t>national specification is manageable and affordable</w:t>
      </w:r>
      <w:r w:rsidR="00980F7F">
        <w:rPr>
          <w:rFonts w:cs="Arial"/>
          <w:szCs w:val="24"/>
          <w:shd w:val="clear" w:color="auto" w:fill="FFFFFF"/>
        </w:rPr>
        <w:t>.</w:t>
      </w:r>
      <w:r w:rsidR="00C65955">
        <w:rPr>
          <w:rFonts w:cs="Arial"/>
          <w:szCs w:val="24"/>
          <w:shd w:val="clear" w:color="auto" w:fill="FFFFFF"/>
        </w:rPr>
        <w:t xml:space="preserve"> </w:t>
      </w:r>
      <w:r w:rsidR="00D60C24">
        <w:rPr>
          <w:rFonts w:cs="Arial"/>
          <w:iCs/>
          <w:szCs w:val="24"/>
          <w:shd w:val="clear" w:color="auto" w:fill="FFFFFF"/>
        </w:rPr>
        <w:t xml:space="preserve">Further requirements in this respect will be set out </w:t>
      </w:r>
      <w:proofErr w:type="gramStart"/>
      <w:r w:rsidR="00D60C24">
        <w:rPr>
          <w:rFonts w:cs="Arial"/>
          <w:iCs/>
          <w:szCs w:val="24"/>
          <w:shd w:val="clear" w:color="auto" w:fill="FFFFFF"/>
        </w:rPr>
        <w:t>at the conclusion of</w:t>
      </w:r>
      <w:proofErr w:type="gramEnd"/>
      <w:r w:rsidR="00D60C24">
        <w:rPr>
          <w:rFonts w:cs="Arial"/>
          <w:iCs/>
          <w:szCs w:val="24"/>
          <w:shd w:val="clear" w:color="auto" w:fill="FFFFFF"/>
        </w:rPr>
        <w:t xml:space="preserve"> the GP contract negotiations for </w:t>
      </w:r>
      <w:r w:rsidR="00980F7F">
        <w:rPr>
          <w:rFonts w:cs="Arial"/>
          <w:iCs/>
          <w:szCs w:val="24"/>
          <w:shd w:val="clear" w:color="auto" w:fill="FFFFFF"/>
        </w:rPr>
        <w:t>20</w:t>
      </w:r>
      <w:r w:rsidR="00D60C24">
        <w:rPr>
          <w:rFonts w:cs="Arial"/>
          <w:iCs/>
          <w:szCs w:val="24"/>
          <w:shd w:val="clear" w:color="auto" w:fill="FFFFFF"/>
        </w:rPr>
        <w:t>20/2</w:t>
      </w:r>
      <w:r w:rsidR="00980F7F">
        <w:rPr>
          <w:rFonts w:cs="Arial"/>
          <w:iCs/>
          <w:szCs w:val="24"/>
          <w:shd w:val="clear" w:color="auto" w:fill="FFFFFF"/>
        </w:rPr>
        <w:t>1.</w:t>
      </w:r>
    </w:p>
    <w:p w14:paraId="4FF5140E" w14:textId="77777777" w:rsidR="004B2E1F" w:rsidRDefault="004B2E1F">
      <w:pPr>
        <w:rPr>
          <w:rFonts w:eastAsia="Times New Roman" w:cs="Arial"/>
          <w:bCs/>
          <w:szCs w:val="24"/>
          <w:shd w:val="clear" w:color="auto" w:fill="FFFFFF"/>
        </w:rPr>
      </w:pPr>
      <w:r>
        <w:rPr>
          <w:rFonts w:cs="Arial"/>
          <w:szCs w:val="24"/>
          <w:shd w:val="clear" w:color="auto" w:fill="FFFFFF"/>
        </w:rPr>
        <w:br w:type="page"/>
      </w:r>
    </w:p>
    <w:p w14:paraId="080F4A56" w14:textId="77777777" w:rsidR="004B2E1F" w:rsidRDefault="004B2E1F" w:rsidP="000A0F1E">
      <w:pPr>
        <w:pStyle w:val="Heading1"/>
        <w:numPr>
          <w:ilvl w:val="0"/>
          <w:numId w:val="1"/>
        </w:numPr>
        <w:ind w:left="-142"/>
      </w:pPr>
      <w:bookmarkStart w:id="5" w:name="_Toc27473066"/>
      <w:r>
        <w:lastRenderedPageBreak/>
        <w:t>Structured Medication Review and Medicines Optimisation</w:t>
      </w:r>
      <w:bookmarkEnd w:id="5"/>
    </w:p>
    <w:p w14:paraId="4DA37246" w14:textId="77777777" w:rsidR="004B2E1F" w:rsidRDefault="004B2E1F" w:rsidP="004B2E1F">
      <w:pPr>
        <w:pStyle w:val="ListParagraph"/>
        <w:ind w:left="567"/>
      </w:pPr>
    </w:p>
    <w:p w14:paraId="1263C7A4" w14:textId="02CAADE1" w:rsidR="006C3804" w:rsidRDefault="004B2E1F" w:rsidP="00102EB8">
      <w:pPr>
        <w:tabs>
          <w:tab w:val="left" w:pos="1985"/>
        </w:tabs>
        <w:spacing w:after="0" w:line="276" w:lineRule="auto"/>
        <w:rPr>
          <w:rFonts w:cs="Arial"/>
          <w:b/>
        </w:rPr>
      </w:pPr>
      <w:r w:rsidRPr="004B2E1F">
        <w:rPr>
          <w:rFonts w:cs="Arial"/>
          <w:b/>
        </w:rPr>
        <w:t>Introduction</w:t>
      </w:r>
    </w:p>
    <w:p w14:paraId="347D3B26" w14:textId="77777777" w:rsidR="00102EB8" w:rsidRDefault="00102EB8" w:rsidP="007077C8">
      <w:pPr>
        <w:tabs>
          <w:tab w:val="left" w:pos="1985"/>
        </w:tabs>
        <w:spacing w:after="0" w:line="276" w:lineRule="auto"/>
        <w:rPr>
          <w:rFonts w:cs="Arial"/>
          <w:b/>
        </w:rPr>
      </w:pPr>
    </w:p>
    <w:p w14:paraId="18EE9AC0" w14:textId="253A50E0" w:rsidR="004B2E1F" w:rsidRPr="0048493A" w:rsidRDefault="004B2E1F" w:rsidP="007077C8">
      <w:pPr>
        <w:pStyle w:val="ListParagraph"/>
        <w:numPr>
          <w:ilvl w:val="1"/>
          <w:numId w:val="23"/>
        </w:numPr>
        <w:tabs>
          <w:tab w:val="left" w:pos="1985"/>
        </w:tabs>
        <w:spacing w:line="276" w:lineRule="auto"/>
        <w:rPr>
          <w:rFonts w:cs="Arial"/>
        </w:rPr>
      </w:pPr>
      <w:r w:rsidRPr="0048493A">
        <w:rPr>
          <w:rFonts w:cs="Arial"/>
        </w:rPr>
        <w:t>Structured Medication Reviews (SMRs) are a NICE approved clinical intervention that help people who have complex or problematic polypharmacy</w:t>
      </w:r>
      <w:r>
        <w:rPr>
          <w:rStyle w:val="FootnoteReference"/>
          <w:rFonts w:cs="Arial"/>
        </w:rPr>
        <w:footnoteReference w:id="1"/>
      </w:r>
      <w:r w:rsidRPr="0048493A">
        <w:rPr>
          <w:rFonts w:cs="Arial"/>
        </w:rPr>
        <w:t xml:space="preserve">. SMRs are designed to be a comprehensive and clinical review of a patient’s medicines </w:t>
      </w:r>
      <w:r w:rsidR="008B7093">
        <w:rPr>
          <w:rFonts w:cs="Arial"/>
        </w:rPr>
        <w:t xml:space="preserve">and detailed aspects of their health </w:t>
      </w:r>
      <w:r w:rsidRPr="0048493A">
        <w:rPr>
          <w:rFonts w:cs="Arial"/>
        </w:rPr>
        <w:t xml:space="preserve">and are delivered by facilitating </w:t>
      </w:r>
      <w:r w:rsidR="0082173D">
        <w:rPr>
          <w:rFonts w:cs="Arial"/>
        </w:rPr>
        <w:t xml:space="preserve">shared </w:t>
      </w:r>
      <w:proofErr w:type="gramStart"/>
      <w:r w:rsidR="0082173D">
        <w:rPr>
          <w:rFonts w:cs="Arial"/>
        </w:rPr>
        <w:t>decision making</w:t>
      </w:r>
      <w:proofErr w:type="gramEnd"/>
      <w:r w:rsidR="0082173D">
        <w:rPr>
          <w:rFonts w:cs="Arial"/>
        </w:rPr>
        <w:t xml:space="preserve"> </w:t>
      </w:r>
      <w:r w:rsidRPr="0048493A">
        <w:rPr>
          <w:rFonts w:cs="Arial"/>
        </w:rPr>
        <w:t>conversations with patients aimed at ensuring that their medication is working well for them.</w:t>
      </w:r>
    </w:p>
    <w:p w14:paraId="14B365C2" w14:textId="77777777" w:rsidR="0048493A" w:rsidRDefault="0048493A" w:rsidP="007077C8">
      <w:pPr>
        <w:tabs>
          <w:tab w:val="left" w:pos="1985"/>
        </w:tabs>
        <w:spacing w:line="276" w:lineRule="auto"/>
        <w:rPr>
          <w:rFonts w:cs="Arial"/>
        </w:rPr>
      </w:pPr>
    </w:p>
    <w:p w14:paraId="41538B2F" w14:textId="53B4BEDD" w:rsidR="004B2E1F" w:rsidRPr="0048493A" w:rsidRDefault="004B2E1F" w:rsidP="007077C8">
      <w:pPr>
        <w:pStyle w:val="ListParagraph"/>
        <w:numPr>
          <w:ilvl w:val="1"/>
          <w:numId w:val="23"/>
        </w:numPr>
        <w:tabs>
          <w:tab w:val="left" w:pos="1985"/>
        </w:tabs>
        <w:spacing w:line="276" w:lineRule="auto"/>
        <w:rPr>
          <w:rFonts w:cs="Arial"/>
        </w:rPr>
      </w:pPr>
      <w:r w:rsidRPr="0048493A">
        <w:rPr>
          <w:rFonts w:cs="Arial"/>
        </w:rPr>
        <w:t>Evidence shows that people with long term conditions using multiple medicines have better clinical and personal outcomes following an SMR.</w:t>
      </w:r>
      <w:r>
        <w:rPr>
          <w:rStyle w:val="FootnoteReference"/>
          <w:rFonts w:cs="Arial"/>
        </w:rPr>
        <w:footnoteReference w:id="2"/>
      </w:r>
      <w:r w:rsidRPr="0048493A">
        <w:rPr>
          <w:rFonts w:cs="Arial"/>
        </w:rPr>
        <w:t xml:space="preserve"> Timely application of SMRs to individuals most at risk from problematic polypharmacy will support a reduction in hospital admissions caused by medicines related harm in primary care. </w:t>
      </w:r>
      <w:r w:rsidRPr="0048493A">
        <w:rPr>
          <w:rFonts w:ascii="Helvetica" w:hAnsi="Helvetica" w:cs="Helvetica"/>
          <w:shd w:val="clear" w:color="auto" w:fill="FAFAFB"/>
        </w:rPr>
        <w:t>It is estimated that £400 million is wasted in unnecessary medicines related harm admissions to hospital annually</w:t>
      </w:r>
      <w:r w:rsidR="00AF5E91">
        <w:rPr>
          <w:rFonts w:ascii="Helvetica" w:hAnsi="Helvetica" w:cs="Helvetica"/>
          <w:shd w:val="clear" w:color="auto" w:fill="FAFAFB"/>
        </w:rPr>
        <w:t>.</w:t>
      </w:r>
      <w:r w:rsidR="00E933B4">
        <w:rPr>
          <w:rStyle w:val="FootnoteReference"/>
          <w:rFonts w:ascii="Helvetica" w:hAnsi="Helvetica" w:cs="Helvetica"/>
          <w:shd w:val="clear" w:color="auto" w:fill="FAFAFB"/>
        </w:rPr>
        <w:footnoteReference w:id="3"/>
      </w:r>
    </w:p>
    <w:p w14:paraId="3D0F5D65" w14:textId="77777777" w:rsidR="004B2E1F" w:rsidRPr="0034252D" w:rsidRDefault="004B2E1F" w:rsidP="007077C8">
      <w:pPr>
        <w:pStyle w:val="ListParagraph"/>
        <w:spacing w:line="276" w:lineRule="auto"/>
        <w:rPr>
          <w:rFonts w:cs="Arial"/>
        </w:rPr>
      </w:pPr>
    </w:p>
    <w:p w14:paraId="117EC4EF" w14:textId="24347B29" w:rsidR="004B2E1F" w:rsidRPr="00A477EC" w:rsidRDefault="00DF491C" w:rsidP="007077C8">
      <w:pPr>
        <w:pStyle w:val="ListParagraph"/>
        <w:numPr>
          <w:ilvl w:val="1"/>
          <w:numId w:val="23"/>
        </w:numPr>
        <w:tabs>
          <w:tab w:val="left" w:pos="1985"/>
        </w:tabs>
        <w:spacing w:line="276" w:lineRule="auto"/>
        <w:rPr>
          <w:rFonts w:cs="Arial"/>
        </w:rPr>
      </w:pPr>
      <w:r w:rsidRPr="0048493A">
        <w:rPr>
          <w:rFonts w:cs="Arial"/>
        </w:rPr>
        <w:t>Most prescribing takes place in primary care. T</w:t>
      </w:r>
      <w:r w:rsidR="004B2E1F" w:rsidRPr="0048493A">
        <w:rPr>
          <w:rFonts w:cs="Arial"/>
        </w:rPr>
        <w:t xml:space="preserve">hrough the increased collaboration brought about by the establishment of </w:t>
      </w:r>
      <w:r w:rsidR="0037056C" w:rsidRPr="0048493A">
        <w:rPr>
          <w:rFonts w:cs="Arial"/>
        </w:rPr>
        <w:t>PCNs</w:t>
      </w:r>
      <w:r w:rsidRPr="0048493A">
        <w:rPr>
          <w:rFonts w:cs="Arial"/>
        </w:rPr>
        <w:t>, t</w:t>
      </w:r>
      <w:r w:rsidR="004B2E1F" w:rsidRPr="0048493A">
        <w:rPr>
          <w:rFonts w:cs="Arial"/>
        </w:rPr>
        <w:t xml:space="preserve">here is a significant opportunity to support </w:t>
      </w:r>
      <w:r w:rsidR="00E933B4">
        <w:rPr>
          <w:rFonts w:cs="Arial"/>
        </w:rPr>
        <w:t xml:space="preserve">the </w:t>
      </w:r>
      <w:r w:rsidR="004B2E1F" w:rsidRPr="0048493A">
        <w:rPr>
          <w:rFonts w:cs="Arial"/>
        </w:rPr>
        <w:t>meet</w:t>
      </w:r>
      <w:r w:rsidR="00E933B4">
        <w:rPr>
          <w:rFonts w:cs="Arial"/>
        </w:rPr>
        <w:t>ing of</w:t>
      </w:r>
      <w:r w:rsidR="00AF5E91">
        <w:rPr>
          <w:rFonts w:cs="Arial"/>
        </w:rPr>
        <w:t xml:space="preserve"> </w:t>
      </w:r>
      <w:r w:rsidR="004B2E1F" w:rsidRPr="0048493A">
        <w:rPr>
          <w:rFonts w:cs="Arial"/>
        </w:rPr>
        <w:t>international commitments on anti-microbial prescribing</w:t>
      </w:r>
      <w:r w:rsidR="00E933B4">
        <w:rPr>
          <w:rFonts w:cs="Arial"/>
        </w:rPr>
        <w:t xml:space="preserve">. Undertaking SMRs in primary care will result in a reduction </w:t>
      </w:r>
      <w:r w:rsidR="007F79D9">
        <w:rPr>
          <w:rFonts w:cs="Arial"/>
        </w:rPr>
        <w:t xml:space="preserve">in the number </w:t>
      </w:r>
      <w:r w:rsidR="00E933B4">
        <w:rPr>
          <w:rFonts w:cs="Arial"/>
        </w:rPr>
        <w:t xml:space="preserve">of people who are over-prescribed medication, reducing the risk of an adverse drug reaction, hospitalisation </w:t>
      </w:r>
      <w:r w:rsidR="007F79D9">
        <w:rPr>
          <w:rFonts w:cs="Arial"/>
        </w:rPr>
        <w:t>or</w:t>
      </w:r>
      <w:r w:rsidR="00E933B4">
        <w:rPr>
          <w:rFonts w:cs="Arial"/>
        </w:rPr>
        <w:t xml:space="preserve"> addiction to prescription medicines. Better prescribing will also ensure better value for money</w:t>
      </w:r>
      <w:r w:rsidR="007818AE" w:rsidRPr="00A477EC">
        <w:rPr>
          <w:rFonts w:cs="Arial"/>
        </w:rPr>
        <w:t xml:space="preserve"> </w:t>
      </w:r>
      <w:r w:rsidR="004B2E1F" w:rsidRPr="00A477EC">
        <w:rPr>
          <w:rFonts w:cs="Arial"/>
        </w:rPr>
        <w:t>for the NHS</w:t>
      </w:r>
      <w:r w:rsidR="007F79D9">
        <w:rPr>
          <w:rFonts w:cs="Arial"/>
        </w:rPr>
        <w:t>, reduce waste</w:t>
      </w:r>
      <w:r w:rsidR="008B7093">
        <w:rPr>
          <w:rFonts w:cs="Arial"/>
        </w:rPr>
        <w:t xml:space="preserve"> and improve its environmental sustainability,</w:t>
      </w:r>
      <w:r w:rsidR="004B2E1F" w:rsidRPr="00A477EC">
        <w:rPr>
          <w:rFonts w:cs="Arial"/>
        </w:rPr>
        <w:t xml:space="preserve"> </w:t>
      </w:r>
      <w:r w:rsidR="00E933B4">
        <w:rPr>
          <w:rFonts w:cs="Arial"/>
        </w:rPr>
        <w:t xml:space="preserve">for example by reducing the use of short acting </w:t>
      </w:r>
      <w:r w:rsidR="008B7093">
        <w:rPr>
          <w:rFonts w:cs="Arial"/>
        </w:rPr>
        <w:t>beta agonist inhalers (SABA) and switching to low carbon alternative</w:t>
      </w:r>
      <w:r w:rsidR="00E933B4">
        <w:rPr>
          <w:rFonts w:cs="Arial"/>
        </w:rPr>
        <w:t xml:space="preserve"> inhaler</w:t>
      </w:r>
      <w:r w:rsidR="00A64F4C">
        <w:rPr>
          <w:rFonts w:cs="Arial"/>
        </w:rPr>
        <w:t>s.</w:t>
      </w:r>
    </w:p>
    <w:p w14:paraId="4755C51D" w14:textId="77777777" w:rsidR="004B2E1F" w:rsidRDefault="004B2E1F" w:rsidP="007077C8">
      <w:pPr>
        <w:pStyle w:val="ListParagraph"/>
        <w:spacing w:line="276" w:lineRule="auto"/>
        <w:rPr>
          <w:rFonts w:cs="Arial"/>
        </w:rPr>
      </w:pPr>
    </w:p>
    <w:p w14:paraId="4077BD88" w14:textId="20602A54" w:rsidR="00BB3F0D" w:rsidRDefault="00BB3F0D" w:rsidP="00102EB8">
      <w:pPr>
        <w:spacing w:after="0" w:line="276" w:lineRule="auto"/>
        <w:rPr>
          <w:rFonts w:cs="Arial"/>
          <w:b/>
        </w:rPr>
      </w:pPr>
      <w:r w:rsidRPr="001D6515">
        <w:rPr>
          <w:rFonts w:cs="Arial"/>
          <w:b/>
        </w:rPr>
        <w:t>Existing provision and available support for PCNs</w:t>
      </w:r>
    </w:p>
    <w:p w14:paraId="24448F5D" w14:textId="77777777" w:rsidR="00102EB8" w:rsidRPr="001D6515" w:rsidRDefault="00102EB8" w:rsidP="007077C8">
      <w:pPr>
        <w:spacing w:after="0" w:line="276" w:lineRule="auto"/>
        <w:rPr>
          <w:rFonts w:cs="Arial"/>
          <w:b/>
        </w:rPr>
      </w:pPr>
    </w:p>
    <w:p w14:paraId="4CAED5A2" w14:textId="77777777" w:rsidR="00BB3F0D" w:rsidRDefault="004B2E1F" w:rsidP="007077C8">
      <w:pPr>
        <w:pStyle w:val="ListParagraph"/>
        <w:numPr>
          <w:ilvl w:val="1"/>
          <w:numId w:val="23"/>
        </w:numPr>
        <w:spacing w:line="276" w:lineRule="auto"/>
      </w:pPr>
      <w:r>
        <w:t xml:space="preserve">Since 2015, NHS England has funded two pilot schemes to support the establishment of Clinical Pharmacists working in general practice. </w:t>
      </w:r>
      <w:r w:rsidRPr="006F0DF5">
        <w:t xml:space="preserve">Significant progress </w:t>
      </w:r>
      <w:r>
        <w:t xml:space="preserve">in medicines optimisation </w:t>
      </w:r>
      <w:r w:rsidRPr="006F0DF5">
        <w:t>has already been made across the country in using the skills of</w:t>
      </w:r>
      <w:r>
        <w:t xml:space="preserve"> these individuals</w:t>
      </w:r>
      <w:r w:rsidR="00E316FC">
        <w:t>, and the service requirements to undertake SMRs will be more achievable as a result</w:t>
      </w:r>
      <w:r w:rsidRPr="006F0DF5">
        <w:t>.</w:t>
      </w:r>
    </w:p>
    <w:p w14:paraId="6A468FC6" w14:textId="77777777" w:rsidR="00BB3F0D" w:rsidRDefault="00BB3F0D" w:rsidP="007077C8">
      <w:pPr>
        <w:pStyle w:val="ListParagraph"/>
        <w:spacing w:line="276" w:lineRule="auto"/>
        <w:ind w:left="567"/>
      </w:pPr>
    </w:p>
    <w:p w14:paraId="30069CA9" w14:textId="0A38BB09" w:rsidR="004B2E1F" w:rsidRDefault="004B2E1F" w:rsidP="007077C8">
      <w:pPr>
        <w:pStyle w:val="ListParagraph"/>
        <w:numPr>
          <w:ilvl w:val="1"/>
          <w:numId w:val="23"/>
        </w:numPr>
        <w:spacing w:line="276" w:lineRule="auto"/>
      </w:pPr>
      <w:r w:rsidRPr="006F0DF5">
        <w:lastRenderedPageBreak/>
        <w:t xml:space="preserve">The additional roles reimbursement scheme </w:t>
      </w:r>
      <w:r>
        <w:t xml:space="preserve">introduced as part of the Network Contract DES in 2019 </w:t>
      </w:r>
      <w:r w:rsidRPr="006F0DF5">
        <w:t xml:space="preserve">has made </w:t>
      </w:r>
      <w:r>
        <w:t xml:space="preserve">funding available for </w:t>
      </w:r>
      <w:r w:rsidRPr="006F0DF5">
        <w:t>Clinical Pharmacists</w:t>
      </w:r>
      <w:r>
        <w:t xml:space="preserve"> to be recruited</w:t>
      </w:r>
      <w:r w:rsidRPr="006F0DF5">
        <w:t xml:space="preserve"> </w:t>
      </w:r>
      <w:r>
        <w:t xml:space="preserve">in </w:t>
      </w:r>
      <w:r w:rsidRPr="006F0DF5">
        <w:t xml:space="preserve">all PCNs from April 2019, building upon the existing base from the earlier pilots. </w:t>
      </w:r>
      <w:r w:rsidR="00E933B4">
        <w:t>This workforce will be key in delivering SMRs, and g</w:t>
      </w:r>
      <w:r w:rsidRPr="006F0DF5">
        <w:t xml:space="preserve">iven this </w:t>
      </w:r>
      <w:r w:rsidR="00CE2175">
        <w:t>degree of existing capacity and expertise</w:t>
      </w:r>
      <w:r w:rsidRPr="006F0DF5">
        <w:t xml:space="preserve">, we </w:t>
      </w:r>
      <w:r w:rsidR="00BB3F0D">
        <w:t xml:space="preserve">believe it is reasonable to </w:t>
      </w:r>
      <w:r w:rsidRPr="006F0DF5">
        <w:t>expect th</w:t>
      </w:r>
      <w:r>
        <w:t xml:space="preserve">e new national SMR </w:t>
      </w:r>
      <w:r w:rsidRPr="006F0DF5">
        <w:t>service</w:t>
      </w:r>
      <w:r w:rsidR="00273EC4">
        <w:t xml:space="preserve"> requirements</w:t>
      </w:r>
      <w:r w:rsidRPr="006F0DF5">
        <w:t xml:space="preserve"> to be delivered</w:t>
      </w:r>
      <w:r>
        <w:t xml:space="preserve"> </w:t>
      </w:r>
      <w:r w:rsidRPr="006F0DF5">
        <w:t xml:space="preserve">in </w:t>
      </w:r>
      <w:proofErr w:type="gramStart"/>
      <w:r w:rsidRPr="006F0DF5">
        <w:t xml:space="preserve">full </w:t>
      </w:r>
      <w:r w:rsidR="00D625D1">
        <w:t>from</w:t>
      </w:r>
      <w:proofErr w:type="gramEnd"/>
      <w:r w:rsidR="00D625D1">
        <w:t xml:space="preserve"> April 2020.</w:t>
      </w:r>
    </w:p>
    <w:p w14:paraId="08B4D14B" w14:textId="77777777" w:rsidR="00CE2175" w:rsidRDefault="00CE2175" w:rsidP="007077C8">
      <w:pPr>
        <w:pStyle w:val="ListParagraph"/>
        <w:spacing w:line="276" w:lineRule="auto"/>
      </w:pPr>
    </w:p>
    <w:p w14:paraId="1FFC4B2C" w14:textId="29B27CBC" w:rsidR="00212060" w:rsidRDefault="00212060" w:rsidP="007077C8">
      <w:pPr>
        <w:pStyle w:val="ListParagraph"/>
        <w:numPr>
          <w:ilvl w:val="1"/>
          <w:numId w:val="23"/>
        </w:numPr>
        <w:spacing w:line="276" w:lineRule="auto"/>
      </w:pPr>
      <w:r w:rsidRPr="00212060">
        <w:rPr>
          <w:iCs/>
        </w:rPr>
        <w:t xml:space="preserve">It is expected that </w:t>
      </w:r>
      <w:proofErr w:type="gramStart"/>
      <w:r w:rsidRPr="00212060">
        <w:rPr>
          <w:iCs/>
        </w:rPr>
        <w:t>a number of</w:t>
      </w:r>
      <w:proofErr w:type="gramEnd"/>
      <w:r w:rsidRPr="00212060">
        <w:rPr>
          <w:iCs/>
        </w:rPr>
        <w:t xml:space="preserve"> GP appointments may be prevented when individuals have a proactive SMR: supporting the alleviation of workforce pressures on GPs and reducing the risk of harm to patients – an evaluation will be commissioned in year one.</w:t>
      </w:r>
    </w:p>
    <w:p w14:paraId="28AC4982" w14:textId="77777777" w:rsidR="00212060" w:rsidRDefault="00212060" w:rsidP="007077C8">
      <w:pPr>
        <w:pStyle w:val="ListParagraph"/>
        <w:spacing w:line="276" w:lineRule="auto"/>
      </w:pPr>
    </w:p>
    <w:p w14:paraId="4A472447" w14:textId="77777777" w:rsidR="00BB3F0D" w:rsidRDefault="00BB3F0D" w:rsidP="007077C8">
      <w:pPr>
        <w:spacing w:after="0" w:line="276" w:lineRule="auto"/>
        <w:rPr>
          <w:b/>
        </w:rPr>
      </w:pPr>
      <w:r w:rsidRPr="001D6515">
        <w:rPr>
          <w:b/>
        </w:rPr>
        <w:t>Proposed Service Model</w:t>
      </w:r>
    </w:p>
    <w:p w14:paraId="26479F92" w14:textId="77777777" w:rsidR="001911D3" w:rsidRPr="001D6515" w:rsidRDefault="001911D3" w:rsidP="007077C8">
      <w:pPr>
        <w:spacing w:after="0" w:line="276" w:lineRule="auto"/>
        <w:rPr>
          <w:b/>
        </w:rPr>
      </w:pPr>
    </w:p>
    <w:p w14:paraId="24C16D79" w14:textId="09137CCC" w:rsidR="004B2E1F" w:rsidRDefault="007818AE" w:rsidP="007077C8">
      <w:pPr>
        <w:pStyle w:val="ListParagraph"/>
        <w:numPr>
          <w:ilvl w:val="1"/>
          <w:numId w:val="23"/>
        </w:numPr>
        <w:spacing w:line="276" w:lineRule="auto"/>
      </w:pPr>
      <w:r>
        <w:t>We propose that</w:t>
      </w:r>
      <w:r w:rsidR="004B2E1F" w:rsidRPr="00981DF8">
        <w:t xml:space="preserve"> </w:t>
      </w:r>
      <w:r w:rsidR="004B2E1F">
        <w:t>PCN</w:t>
      </w:r>
      <w:r>
        <w:t>s</w:t>
      </w:r>
      <w:r w:rsidR="004B2E1F" w:rsidRPr="00981DF8">
        <w:t xml:space="preserve"> identify people who would benefit most from receiving an SMR. The following groups have been identified as being most likely to benefit from an SMR:</w:t>
      </w:r>
    </w:p>
    <w:p w14:paraId="2B916EBC" w14:textId="77777777" w:rsidR="00031972" w:rsidRDefault="00031972" w:rsidP="007077C8">
      <w:pPr>
        <w:spacing w:after="0" w:line="276" w:lineRule="auto"/>
      </w:pPr>
    </w:p>
    <w:p w14:paraId="0551E97C" w14:textId="43E1143A" w:rsidR="004B2E1F" w:rsidRPr="00EB675B" w:rsidRDefault="00273EC4" w:rsidP="007077C8">
      <w:pPr>
        <w:pStyle w:val="ListParagraph"/>
        <w:numPr>
          <w:ilvl w:val="0"/>
          <w:numId w:val="7"/>
        </w:numPr>
        <w:spacing w:line="276" w:lineRule="auto"/>
      </w:pPr>
      <w:r>
        <w:t>a</w:t>
      </w:r>
      <w:r w:rsidR="004B2E1F">
        <w:t xml:space="preserve">ll patients in </w:t>
      </w:r>
      <w:r>
        <w:t>c</w:t>
      </w:r>
      <w:r w:rsidR="004B2E1F">
        <w:t xml:space="preserve">are </w:t>
      </w:r>
      <w:r>
        <w:t>h</w:t>
      </w:r>
      <w:r w:rsidR="004B2E1F">
        <w:t xml:space="preserve">omes as per the Enhanced Health in Care Home specification; </w:t>
      </w:r>
    </w:p>
    <w:p w14:paraId="3276DC97" w14:textId="77777777" w:rsidR="004B2E1F" w:rsidRPr="00145AC6" w:rsidRDefault="004B2E1F" w:rsidP="007077C8">
      <w:pPr>
        <w:pStyle w:val="ListParagraph"/>
        <w:numPr>
          <w:ilvl w:val="0"/>
          <w:numId w:val="7"/>
        </w:numPr>
        <w:spacing w:line="276" w:lineRule="auto"/>
      </w:pPr>
      <w:r>
        <w:t>patients with c</w:t>
      </w:r>
      <w:r w:rsidRPr="00EB675B">
        <w:t>omplex</w:t>
      </w:r>
      <w:r>
        <w:t xml:space="preserve"> and problematic</w:t>
      </w:r>
      <w:r w:rsidRPr="00EB675B">
        <w:t xml:space="preserve"> polypharmacy</w:t>
      </w:r>
      <w:r w:rsidRPr="00145AC6">
        <w:t>, specifically those on 10 or more medications;</w:t>
      </w:r>
    </w:p>
    <w:p w14:paraId="14F95C95" w14:textId="77777777" w:rsidR="004B2E1F" w:rsidRDefault="004B2E1F" w:rsidP="007077C8">
      <w:pPr>
        <w:pStyle w:val="ListParagraph"/>
        <w:numPr>
          <w:ilvl w:val="0"/>
          <w:numId w:val="7"/>
        </w:numPr>
        <w:spacing w:line="276" w:lineRule="auto"/>
      </w:pPr>
      <w:r w:rsidRPr="008A1B1C">
        <w:rPr>
          <w:rFonts w:cs="Arial"/>
        </w:rPr>
        <w:t>patients who are being prescribed medicines that are commonly and consistently associated with medication errors;</w:t>
      </w:r>
    </w:p>
    <w:p w14:paraId="3D617DCC" w14:textId="77777777" w:rsidR="004B2E1F" w:rsidRPr="00EB675B" w:rsidRDefault="004B2E1F" w:rsidP="007077C8">
      <w:pPr>
        <w:pStyle w:val="ListParagraph"/>
        <w:numPr>
          <w:ilvl w:val="0"/>
          <w:numId w:val="7"/>
        </w:numPr>
        <w:spacing w:line="276" w:lineRule="auto"/>
      </w:pPr>
      <w:r>
        <w:t>patients with multiple l</w:t>
      </w:r>
      <w:r w:rsidRPr="00EB675B">
        <w:t>ong-term conditions and/or multiple comorbidities</w:t>
      </w:r>
      <w:r>
        <w:t xml:space="preserve"> – in particular respiratory disease and cardiovascular disease; </w:t>
      </w:r>
    </w:p>
    <w:p w14:paraId="6023C164" w14:textId="4BA75482" w:rsidR="004B2E1F" w:rsidRDefault="004B2E1F" w:rsidP="007077C8">
      <w:pPr>
        <w:pStyle w:val="ListParagraph"/>
        <w:numPr>
          <w:ilvl w:val="0"/>
          <w:numId w:val="7"/>
        </w:numPr>
        <w:spacing w:line="276" w:lineRule="auto"/>
      </w:pPr>
      <w:r>
        <w:t>h</w:t>
      </w:r>
      <w:r w:rsidRPr="00EB675B">
        <w:t>ousebound, isolated patients</w:t>
      </w:r>
      <w:r>
        <w:t xml:space="preserve"> </w:t>
      </w:r>
      <w:r w:rsidR="000B4BA6">
        <w:t xml:space="preserve">and those with frailty </w:t>
      </w:r>
      <w:r>
        <w:t xml:space="preserve">– particularly patients who have had recent admissions to hospital and/or falls; </w:t>
      </w:r>
    </w:p>
    <w:p w14:paraId="6D61D41E" w14:textId="6FE89449" w:rsidR="00E933B4" w:rsidRDefault="00E933B4" w:rsidP="007077C8">
      <w:pPr>
        <w:pStyle w:val="ListParagraph"/>
        <w:numPr>
          <w:ilvl w:val="0"/>
          <w:numId w:val="7"/>
        </w:numPr>
        <w:spacing w:line="276" w:lineRule="auto"/>
      </w:pPr>
      <w:r>
        <w:t>patients who have received a comprehensive geriatric assessment as per the anticipatory care requirements;</w:t>
      </w:r>
    </w:p>
    <w:p w14:paraId="56BF01B4" w14:textId="77777777" w:rsidR="004B2E1F" w:rsidRPr="003B30AD" w:rsidRDefault="004B2E1F" w:rsidP="007077C8">
      <w:pPr>
        <w:pStyle w:val="ListParagraph"/>
        <w:numPr>
          <w:ilvl w:val="0"/>
          <w:numId w:val="7"/>
        </w:numPr>
        <w:spacing w:line="276" w:lineRule="auto"/>
        <w:rPr>
          <w:color w:val="000000" w:themeColor="text1"/>
        </w:rPr>
      </w:pPr>
      <w:r w:rsidRPr="003B30AD">
        <w:rPr>
          <w:color w:val="000000" w:themeColor="text1"/>
        </w:rPr>
        <w:t>patients with severe frailty;</w:t>
      </w:r>
      <w:r w:rsidR="00EB37EE">
        <w:rPr>
          <w:color w:val="000000" w:themeColor="text1"/>
        </w:rPr>
        <w:t xml:space="preserve"> and</w:t>
      </w:r>
    </w:p>
    <w:p w14:paraId="78B13133" w14:textId="77777777" w:rsidR="004B2E1F" w:rsidRDefault="00EB37EE" w:rsidP="007077C8">
      <w:pPr>
        <w:pStyle w:val="ListParagraph"/>
        <w:numPr>
          <w:ilvl w:val="0"/>
          <w:numId w:val="7"/>
        </w:numPr>
        <w:spacing w:line="276" w:lineRule="auto"/>
      </w:pPr>
      <w:r>
        <w:t>p</w:t>
      </w:r>
      <w:r w:rsidR="004B2E1F">
        <w:t>atients prescribed high numbers of addictive pain management medication.</w:t>
      </w:r>
    </w:p>
    <w:p w14:paraId="40B9776D" w14:textId="77777777" w:rsidR="004B2E1F" w:rsidRDefault="004B2E1F" w:rsidP="007077C8">
      <w:pPr>
        <w:spacing w:after="0" w:line="276" w:lineRule="auto"/>
      </w:pPr>
    </w:p>
    <w:p w14:paraId="26275ADA" w14:textId="6659FCD1" w:rsidR="004B2E1F" w:rsidRDefault="004B2E1F" w:rsidP="007077C8">
      <w:pPr>
        <w:pStyle w:val="ListParagraph"/>
        <w:numPr>
          <w:ilvl w:val="1"/>
          <w:numId w:val="23"/>
        </w:numPr>
        <w:spacing w:line="276" w:lineRule="auto"/>
      </w:pPr>
      <w:r>
        <w:t>A variety of tools have been developed to help clinicians to identify patients with complex and problematic polypharmacy with multi-morbidity, including PINCER, EPAC</w:t>
      </w:r>
      <w:r w:rsidR="008B7093">
        <w:t>T</w:t>
      </w:r>
      <w:r>
        <w:t>2</w:t>
      </w:r>
      <w:r w:rsidR="008B7093">
        <w:t xml:space="preserve">, </w:t>
      </w:r>
      <w:proofErr w:type="spellStart"/>
      <w:r w:rsidR="008B7093">
        <w:t>Openprescribing</w:t>
      </w:r>
      <w:proofErr w:type="spellEnd"/>
      <w:r>
        <w:t xml:space="preserve"> and Eclipse</w:t>
      </w:r>
      <w:r w:rsidR="008B7093">
        <w:t xml:space="preserve"> Live</w:t>
      </w:r>
      <w:r>
        <w:t xml:space="preserve">. PCNs can select appropriate </w:t>
      </w:r>
      <w:r w:rsidRPr="00145AC6">
        <w:t>tools</w:t>
      </w:r>
      <w:r w:rsidRPr="008A1B1C">
        <w:t xml:space="preserve"> </w:t>
      </w:r>
      <w:r>
        <w:t xml:space="preserve">that help them to proactively identify patients from the cohorts outlined above through audit of GP IT systems. Guidance will be published to support PCNs in the identification of patients, </w:t>
      </w:r>
      <w:r w:rsidRPr="00145AC6">
        <w:t>includ</w:t>
      </w:r>
      <w:r w:rsidR="00CE6A32">
        <w:t>ing</w:t>
      </w:r>
      <w:r w:rsidRPr="00145AC6">
        <w:t xml:space="preserve"> a guide to </w:t>
      </w:r>
      <w:r w:rsidR="00E933B4">
        <w:t>the</w:t>
      </w:r>
      <w:r w:rsidRPr="00145AC6">
        <w:t xml:space="preserve"> selection of these tools. </w:t>
      </w:r>
    </w:p>
    <w:p w14:paraId="4ED53742" w14:textId="77777777" w:rsidR="004B2E1F" w:rsidRDefault="004B2E1F" w:rsidP="007077C8">
      <w:pPr>
        <w:pStyle w:val="ListParagraph"/>
        <w:spacing w:line="276" w:lineRule="auto"/>
        <w:ind w:left="360"/>
      </w:pPr>
    </w:p>
    <w:p w14:paraId="64B5C58D" w14:textId="6D5A24E3" w:rsidR="004B2E1F" w:rsidRDefault="007818AE" w:rsidP="007077C8">
      <w:pPr>
        <w:pStyle w:val="ListParagraph"/>
        <w:numPr>
          <w:ilvl w:val="1"/>
          <w:numId w:val="23"/>
        </w:numPr>
        <w:spacing w:line="276" w:lineRule="auto"/>
      </w:pPr>
      <w:r>
        <w:lastRenderedPageBreak/>
        <w:t>We propose that PCNs also</w:t>
      </w:r>
      <w:r w:rsidR="004B2E1F" w:rsidRPr="00A76D90">
        <w:t xml:space="preserve"> </w:t>
      </w:r>
      <w:r w:rsidR="004B2E1F">
        <w:t>develop p</w:t>
      </w:r>
      <w:r w:rsidR="004B2E1F" w:rsidRPr="00A76D90">
        <w:t xml:space="preserve">rocesses for identifying </w:t>
      </w:r>
      <w:r w:rsidR="004B2E1F">
        <w:t>patients</w:t>
      </w:r>
      <w:r w:rsidR="004B2E1F" w:rsidRPr="00A76D90">
        <w:t xml:space="preserve"> who need to </w:t>
      </w:r>
      <w:r w:rsidR="004B2E1F">
        <w:t>be referred</w:t>
      </w:r>
      <w:r w:rsidR="004B2E1F" w:rsidRPr="00A76D90">
        <w:t xml:space="preserve"> for an SMR reactively. </w:t>
      </w:r>
      <w:r w:rsidR="00E933B4">
        <w:t>PCNs must consider guidance concerning reactive referrals</w:t>
      </w:r>
      <w:r w:rsidR="00273EC4">
        <w:t>.</w:t>
      </w:r>
    </w:p>
    <w:p w14:paraId="2C68A59D" w14:textId="77777777" w:rsidR="004B2E1F" w:rsidRDefault="004B2E1F" w:rsidP="007077C8">
      <w:pPr>
        <w:pStyle w:val="ListParagraph"/>
        <w:spacing w:line="276" w:lineRule="auto"/>
      </w:pPr>
    </w:p>
    <w:p w14:paraId="45A64762" w14:textId="1142510C" w:rsidR="0030735F" w:rsidRPr="000B3227" w:rsidRDefault="0030735F" w:rsidP="007077C8">
      <w:pPr>
        <w:pStyle w:val="ListParagraph"/>
        <w:numPr>
          <w:ilvl w:val="1"/>
          <w:numId w:val="23"/>
        </w:numPr>
        <w:spacing w:line="276" w:lineRule="auto"/>
      </w:pPr>
      <w:r w:rsidRPr="000B3227">
        <w:t>PCN</w:t>
      </w:r>
      <w:r>
        <w:t>s</w:t>
      </w:r>
      <w:r w:rsidRPr="000B3227">
        <w:t xml:space="preserve"> must ensure that only appropriately trained clinicians working within their sphere of competence should undertake SMRs. These professionals will need to have a prescribing qualification</w:t>
      </w:r>
      <w:r>
        <w:t xml:space="preserve"> and advanced assessment and history taking </w:t>
      </w:r>
      <w:r w:rsidR="007F4028">
        <w:t>skills</w:t>
      </w:r>
      <w:r w:rsidR="00273EC4">
        <w:t xml:space="preserve"> –</w:t>
      </w:r>
      <w:r w:rsidR="007F4028" w:rsidRPr="000B3227">
        <w:t xml:space="preserve"> or</w:t>
      </w:r>
      <w:r w:rsidR="00273EC4">
        <w:t xml:space="preserve"> </w:t>
      </w:r>
      <w:r w:rsidRPr="000B3227">
        <w:t xml:space="preserve">be enrolled in a current training pathway to </w:t>
      </w:r>
      <w:r>
        <w:t>develop these skills</w:t>
      </w:r>
      <w:r w:rsidR="00E933B4">
        <w:t xml:space="preserve"> </w:t>
      </w:r>
      <w:r w:rsidR="00273EC4">
        <w:t xml:space="preserve">– </w:t>
      </w:r>
      <w:r w:rsidR="00E933B4">
        <w:t>and must be able to take a holistic view of a patient’s medication</w:t>
      </w:r>
      <w:r>
        <w:t xml:space="preserve">. This </w:t>
      </w:r>
      <w:r w:rsidRPr="000B3227">
        <w:t xml:space="preserve">could include: </w:t>
      </w:r>
    </w:p>
    <w:p w14:paraId="170D6228" w14:textId="77777777" w:rsidR="0030735F" w:rsidRDefault="0030735F" w:rsidP="007077C8">
      <w:pPr>
        <w:pStyle w:val="ListParagraph"/>
        <w:numPr>
          <w:ilvl w:val="0"/>
          <w:numId w:val="39"/>
        </w:numPr>
        <w:spacing w:line="276" w:lineRule="auto"/>
      </w:pPr>
      <w:r>
        <w:t xml:space="preserve">Clinical Pharmacists </w:t>
      </w:r>
    </w:p>
    <w:p w14:paraId="777B4D0E" w14:textId="77777777" w:rsidR="0030735F" w:rsidRDefault="0030735F" w:rsidP="007077C8">
      <w:pPr>
        <w:pStyle w:val="ListParagraph"/>
        <w:numPr>
          <w:ilvl w:val="0"/>
          <w:numId w:val="39"/>
        </w:numPr>
        <w:spacing w:line="276" w:lineRule="auto"/>
      </w:pPr>
      <w:r>
        <w:t xml:space="preserve">General Practitioners </w:t>
      </w:r>
    </w:p>
    <w:p w14:paraId="5047F896" w14:textId="77777777" w:rsidR="0030735F" w:rsidRDefault="0030735F" w:rsidP="007077C8">
      <w:pPr>
        <w:pStyle w:val="ListParagraph"/>
        <w:numPr>
          <w:ilvl w:val="0"/>
          <w:numId w:val="39"/>
        </w:numPr>
        <w:spacing w:line="276" w:lineRule="auto"/>
      </w:pPr>
      <w:r>
        <w:t xml:space="preserve">Advanced Nurse Practitioners </w:t>
      </w:r>
    </w:p>
    <w:p w14:paraId="74187EE9" w14:textId="77777777" w:rsidR="0030735F" w:rsidRDefault="0030735F" w:rsidP="007077C8">
      <w:pPr>
        <w:pStyle w:val="ListParagraph"/>
        <w:spacing w:line="276" w:lineRule="auto"/>
        <w:ind w:left="567"/>
      </w:pPr>
    </w:p>
    <w:p w14:paraId="0671FC52" w14:textId="2544C5DA" w:rsidR="00CD20FC" w:rsidRDefault="006C3804" w:rsidP="007077C8">
      <w:pPr>
        <w:pStyle w:val="ListParagraph"/>
        <w:numPr>
          <w:ilvl w:val="1"/>
          <w:numId w:val="23"/>
        </w:numPr>
        <w:spacing w:line="276" w:lineRule="auto"/>
      </w:pPr>
      <w:r>
        <w:t xml:space="preserve">We expect that undertaking a SMR would take </w:t>
      </w:r>
      <w:r w:rsidR="00AF5E91">
        <w:t>considerably longer than an average GP appointment, although the exact length should vary</w:t>
      </w:r>
      <w:r>
        <w:t xml:space="preserve">. </w:t>
      </w:r>
      <w:r w:rsidR="004B2E1F" w:rsidRPr="00145AC6">
        <w:t xml:space="preserve">PCNs should </w:t>
      </w:r>
      <w:r w:rsidR="004B2E1F">
        <w:t xml:space="preserve">allow for flexibility in appointment length for SMRs depending on the level of complexity presenting with individual cases. Clinicians should conduct SMRs in line with the principles of </w:t>
      </w:r>
      <w:r w:rsidR="002F049D">
        <w:t>s</w:t>
      </w:r>
      <w:r w:rsidR="004B2E1F">
        <w:t xml:space="preserve">hared </w:t>
      </w:r>
      <w:r w:rsidR="002F049D">
        <w:t>d</w:t>
      </w:r>
      <w:r w:rsidR="004B2E1F">
        <w:t xml:space="preserve">ecision </w:t>
      </w:r>
      <w:r w:rsidR="002F049D">
        <w:t>m</w:t>
      </w:r>
      <w:r w:rsidR="004B2E1F">
        <w:t>aking, and consider the holistic needs of the patient, providing advice, signposting and making onward referrals where relevant</w:t>
      </w:r>
      <w:r w:rsidR="008B7093">
        <w:t>, including new responsibilities to signpost to health</w:t>
      </w:r>
      <w:r w:rsidR="00E70016">
        <w:t>y</w:t>
      </w:r>
      <w:r w:rsidR="008B7093">
        <w:t xml:space="preserve"> living pharmacies.</w:t>
      </w:r>
      <w:r w:rsidR="008B7093">
        <w:rPr>
          <w:rStyle w:val="FootnoteReference"/>
        </w:rPr>
        <w:footnoteReference w:id="4"/>
      </w:r>
    </w:p>
    <w:p w14:paraId="4A888E21" w14:textId="77777777" w:rsidR="0087425D" w:rsidRDefault="0087425D" w:rsidP="007077C8">
      <w:pPr>
        <w:pStyle w:val="ListParagraph"/>
        <w:spacing w:line="276" w:lineRule="auto"/>
        <w:ind w:left="567"/>
      </w:pPr>
    </w:p>
    <w:p w14:paraId="75C3FA1E" w14:textId="7D11B7FD" w:rsidR="00CD20FC" w:rsidRDefault="00CD20FC" w:rsidP="007077C8">
      <w:pPr>
        <w:pStyle w:val="ListParagraph"/>
        <w:numPr>
          <w:ilvl w:val="1"/>
          <w:numId w:val="23"/>
        </w:numPr>
        <w:spacing w:line="276" w:lineRule="auto"/>
      </w:pPr>
      <w:r w:rsidRPr="0003188B">
        <w:t>SMR</w:t>
      </w:r>
      <w:r>
        <w:t>s</w:t>
      </w:r>
      <w:r w:rsidRPr="0003188B">
        <w:t xml:space="preserve"> should be an ongoing process in which an individual appointment or discussion constitutes an episode of care. Regular review and management should be </w:t>
      </w:r>
      <w:r>
        <w:t>undertaken</w:t>
      </w:r>
      <w:r w:rsidRPr="0003188B">
        <w:t xml:space="preserve"> and SMRs should not be treated as a one</w:t>
      </w:r>
      <w:r>
        <w:t>-</w:t>
      </w:r>
      <w:r w:rsidRPr="0003188B">
        <w:t>off exercise</w:t>
      </w:r>
      <w:r w:rsidR="00466474">
        <w:t>.</w:t>
      </w:r>
    </w:p>
    <w:p w14:paraId="5AFC7F1B" w14:textId="77777777" w:rsidR="00466474" w:rsidRDefault="00466474" w:rsidP="007077C8">
      <w:pPr>
        <w:pStyle w:val="ListParagraph"/>
        <w:spacing w:line="276" w:lineRule="auto"/>
      </w:pPr>
    </w:p>
    <w:p w14:paraId="2BCC62F1" w14:textId="28659E27" w:rsidR="00466474" w:rsidRDefault="00466474" w:rsidP="007077C8">
      <w:pPr>
        <w:pStyle w:val="ListParagraph"/>
        <w:numPr>
          <w:ilvl w:val="1"/>
          <w:numId w:val="23"/>
        </w:numPr>
        <w:spacing w:line="276" w:lineRule="auto"/>
      </w:pPr>
      <w:r>
        <w:t xml:space="preserve">As part of our commitment to a more sustainable NHS, SMRs should </w:t>
      </w:r>
      <w:r w:rsidR="00D91473">
        <w:t xml:space="preserve">also support patients to </w:t>
      </w:r>
      <w:r>
        <w:t xml:space="preserve">switch </w:t>
      </w:r>
      <w:r w:rsidR="00D91473">
        <w:t>to low carbon inhalers, where clinically appropriate.</w:t>
      </w:r>
    </w:p>
    <w:p w14:paraId="31CBF167" w14:textId="77777777" w:rsidR="00CD20FC" w:rsidRDefault="00CD20FC" w:rsidP="007077C8">
      <w:pPr>
        <w:pStyle w:val="ListParagraph"/>
        <w:spacing w:line="276" w:lineRule="auto"/>
      </w:pPr>
    </w:p>
    <w:p w14:paraId="274C335D" w14:textId="77777777" w:rsidR="004B2E1F" w:rsidRDefault="004B2E1F" w:rsidP="007077C8">
      <w:pPr>
        <w:pStyle w:val="ListParagraph"/>
        <w:numPr>
          <w:ilvl w:val="1"/>
          <w:numId w:val="23"/>
        </w:numPr>
        <w:spacing w:line="276" w:lineRule="auto"/>
      </w:pPr>
      <w:r>
        <w:t xml:space="preserve">Further guidance will be issued on processes to undertake an SMR, built from </w:t>
      </w:r>
      <w:hyperlink r:id="rId19" w:anchor="content=view-node%3Anodes-performing-structured-medication-review" w:history="1">
        <w:r w:rsidRPr="000B3227">
          <w:t>NICE guidance</w:t>
        </w:r>
      </w:hyperlink>
      <w:r>
        <w:t xml:space="preserve">, the </w:t>
      </w:r>
      <w:hyperlink r:id="rId20" w:history="1">
        <w:r w:rsidRPr="000B3227">
          <w:t>Scottish Polypharmacy model</w:t>
        </w:r>
      </w:hyperlink>
      <w:r>
        <w:t xml:space="preserve"> and evidenced best practice.</w:t>
      </w:r>
    </w:p>
    <w:p w14:paraId="315B4A42" w14:textId="77777777" w:rsidR="00A477EC" w:rsidRDefault="00A477EC" w:rsidP="007077C8">
      <w:pPr>
        <w:spacing w:after="0" w:line="276" w:lineRule="auto"/>
        <w:rPr>
          <w:b/>
        </w:rPr>
      </w:pPr>
    </w:p>
    <w:p w14:paraId="163C86CB" w14:textId="77777777" w:rsidR="004B2E1F" w:rsidRPr="004B2E1F" w:rsidRDefault="007818AE" w:rsidP="007077C8">
      <w:pPr>
        <w:spacing w:line="276" w:lineRule="auto"/>
        <w:rPr>
          <w:b/>
        </w:rPr>
      </w:pPr>
      <w:r>
        <w:rPr>
          <w:b/>
        </w:rPr>
        <w:t xml:space="preserve">Proposed </w:t>
      </w:r>
      <w:r w:rsidR="002D6C93">
        <w:rPr>
          <w:b/>
        </w:rPr>
        <w:t>s</w:t>
      </w:r>
      <w:r w:rsidR="004B2E1F">
        <w:rPr>
          <w:b/>
        </w:rPr>
        <w:t xml:space="preserve">ervice </w:t>
      </w:r>
      <w:r w:rsidR="002D6C93">
        <w:rPr>
          <w:b/>
        </w:rPr>
        <w:t>r</w:t>
      </w:r>
      <w:r w:rsidR="004B2E1F" w:rsidRPr="004B2E1F">
        <w:rPr>
          <w:b/>
        </w:rPr>
        <w:t>equirements for 2020/21</w:t>
      </w:r>
    </w:p>
    <w:p w14:paraId="2B0BD1CB" w14:textId="77777777" w:rsidR="004B2E1F" w:rsidRDefault="001911D3" w:rsidP="007077C8">
      <w:pPr>
        <w:pStyle w:val="ListParagraph"/>
        <w:numPr>
          <w:ilvl w:val="1"/>
          <w:numId w:val="23"/>
        </w:numPr>
        <w:spacing w:line="276" w:lineRule="auto"/>
      </w:pPr>
      <w:bookmarkStart w:id="6" w:name="_Hlk23856131"/>
      <w:r>
        <w:t>From April 2020</w:t>
      </w:r>
      <w:r w:rsidR="004B2E1F" w:rsidRPr="00BF4536">
        <w:t>, practices working as part of PCNs</w:t>
      </w:r>
      <w:r w:rsidR="004B2E1F" w:rsidRPr="00DE7445">
        <w:t xml:space="preserve"> </w:t>
      </w:r>
      <w:r w:rsidR="004B2E1F" w:rsidRPr="00BF4536">
        <w:t>will:</w:t>
      </w:r>
    </w:p>
    <w:bookmarkEnd w:id="6"/>
    <w:p w14:paraId="7F7C2D7D" w14:textId="77777777" w:rsidR="006062EA" w:rsidRDefault="006062EA" w:rsidP="007077C8">
      <w:pPr>
        <w:pStyle w:val="ListParagraph"/>
        <w:spacing w:line="276" w:lineRule="auto"/>
        <w:ind w:left="567"/>
      </w:pPr>
    </w:p>
    <w:p w14:paraId="5CDE38D0" w14:textId="352677CB" w:rsidR="00102EB8" w:rsidRDefault="007077C8" w:rsidP="00102EB8">
      <w:pPr>
        <w:pStyle w:val="ListParagraph"/>
        <w:numPr>
          <w:ilvl w:val="0"/>
          <w:numId w:val="6"/>
        </w:numPr>
        <w:spacing w:line="276" w:lineRule="auto"/>
      </w:pPr>
      <w:bookmarkStart w:id="7" w:name="_Hlk27472884"/>
      <w:r>
        <w:t>i</w:t>
      </w:r>
      <w:r w:rsidR="00102EB8">
        <w:t xml:space="preserve">dentify a clinical lead </w:t>
      </w:r>
      <w:r>
        <w:t>who will be responsible across the PCN for the delivery of the service requirements in this section.</w:t>
      </w:r>
    </w:p>
    <w:bookmarkEnd w:id="7"/>
    <w:p w14:paraId="1FCE7832" w14:textId="77777777" w:rsidR="007077C8" w:rsidRDefault="007077C8" w:rsidP="007077C8">
      <w:pPr>
        <w:pStyle w:val="ListParagraph"/>
        <w:spacing w:line="276" w:lineRule="auto"/>
      </w:pPr>
    </w:p>
    <w:p w14:paraId="59E9FEF5" w14:textId="29848B3C" w:rsidR="004B2E1F" w:rsidRDefault="004B2E1F" w:rsidP="007077C8">
      <w:pPr>
        <w:pStyle w:val="ListParagraph"/>
        <w:numPr>
          <w:ilvl w:val="0"/>
          <w:numId w:val="6"/>
        </w:numPr>
        <w:spacing w:line="276" w:lineRule="auto"/>
      </w:pPr>
      <w:r w:rsidRPr="00BA78D0">
        <w:lastRenderedPageBreak/>
        <w:t xml:space="preserve">run locally-defined processes at least twice yearly, on a six-monthly basis, to identify </w:t>
      </w:r>
      <w:r w:rsidR="002D6C93">
        <w:t>the patients within</w:t>
      </w:r>
      <w:r w:rsidRPr="00BA78D0">
        <w:t xml:space="preserve"> the practice-registered population that require SMRs. </w:t>
      </w:r>
      <w:r w:rsidR="00A477EC">
        <w:t xml:space="preserve">This must include </w:t>
      </w:r>
      <w:r w:rsidR="00B43C52">
        <w:t xml:space="preserve">consideration of patients within </w:t>
      </w:r>
      <w:r w:rsidR="00A477EC">
        <w:t>the cohorts</w:t>
      </w:r>
      <w:r w:rsidR="00B43C52">
        <w:t xml:space="preserve"> described</w:t>
      </w:r>
      <w:r w:rsidR="00A477EC">
        <w:t xml:space="preserve"> in paragraph 2.</w:t>
      </w:r>
      <w:r w:rsidR="00E5688F">
        <w:t>7</w:t>
      </w:r>
      <w:r w:rsidR="00A477EC">
        <w:t>.</w:t>
      </w:r>
    </w:p>
    <w:p w14:paraId="65BA15DB" w14:textId="77777777" w:rsidR="00AF5E91" w:rsidRDefault="00AF5E91" w:rsidP="007077C8">
      <w:pPr>
        <w:pStyle w:val="ListParagraph"/>
        <w:spacing w:line="276" w:lineRule="auto"/>
      </w:pPr>
    </w:p>
    <w:p w14:paraId="6FB89731" w14:textId="4D3D83A4" w:rsidR="00AF5E91" w:rsidRDefault="00AF5E91" w:rsidP="007077C8">
      <w:pPr>
        <w:pStyle w:val="ListParagraph"/>
        <w:numPr>
          <w:ilvl w:val="0"/>
          <w:numId w:val="6"/>
        </w:numPr>
        <w:spacing w:line="276" w:lineRule="auto"/>
      </w:pPr>
      <w:r>
        <w:t>develop local processes for reactive SMR referrals, adhering to published guidance;</w:t>
      </w:r>
    </w:p>
    <w:p w14:paraId="28F39844" w14:textId="77777777" w:rsidR="00AF5E91" w:rsidRDefault="00AF5E91" w:rsidP="007077C8">
      <w:pPr>
        <w:pStyle w:val="ListParagraph"/>
        <w:spacing w:line="276" w:lineRule="auto"/>
      </w:pPr>
    </w:p>
    <w:p w14:paraId="7A444AB9" w14:textId="4633D349" w:rsidR="00AF5E91" w:rsidRDefault="00AF5E91" w:rsidP="007077C8">
      <w:pPr>
        <w:pStyle w:val="ListParagraph"/>
        <w:numPr>
          <w:ilvl w:val="0"/>
          <w:numId w:val="6"/>
        </w:numPr>
        <w:spacing w:line="276" w:lineRule="auto"/>
      </w:pPr>
      <w:r>
        <w:t>provide written communication to patients invited for an SMR, detailing the process and intention of the appointment;</w:t>
      </w:r>
    </w:p>
    <w:p w14:paraId="00E6E23C" w14:textId="77777777" w:rsidR="004B2E1F" w:rsidRPr="00BA78D0" w:rsidRDefault="004B2E1F" w:rsidP="007077C8">
      <w:pPr>
        <w:pStyle w:val="ListParagraph"/>
        <w:spacing w:line="276" w:lineRule="auto"/>
      </w:pPr>
    </w:p>
    <w:p w14:paraId="3481DA7C" w14:textId="77777777" w:rsidR="00F51CEB" w:rsidRPr="007F4028" w:rsidRDefault="00DF491C" w:rsidP="007077C8">
      <w:pPr>
        <w:pStyle w:val="ListParagraph"/>
        <w:numPr>
          <w:ilvl w:val="0"/>
          <w:numId w:val="6"/>
        </w:numPr>
        <w:spacing w:line="276" w:lineRule="auto"/>
        <w:rPr>
          <w:rFonts w:eastAsiaTheme="minorHAnsi" w:cstheme="minorBidi"/>
          <w:szCs w:val="22"/>
        </w:rPr>
      </w:pPr>
      <w:bookmarkStart w:id="8" w:name="_Hlk23856007"/>
      <w:r>
        <w:t xml:space="preserve">offer </w:t>
      </w:r>
      <w:r w:rsidR="004B2E1F" w:rsidRPr="00BA78D0">
        <w:t>SMRs</w:t>
      </w:r>
      <w:r w:rsidR="00793A10">
        <w:t xml:space="preserve"> </w:t>
      </w:r>
      <w:r w:rsidR="00F51CEB">
        <w:t>to 100% of identified patients, except in exceptional circumstances where the commissioner agrees that proven capacity constraints (where the PCN had demonstrated all reasonable attempts to ensure capacity had been undertaken) would justify a lower proportion of identified patients to be offered a SMR</w:t>
      </w:r>
      <w:r w:rsidR="00324FBA">
        <w:t>;</w:t>
      </w:r>
    </w:p>
    <w:p w14:paraId="74A793D9" w14:textId="77777777" w:rsidR="00F51CEB" w:rsidRDefault="00F51CEB" w:rsidP="007077C8">
      <w:pPr>
        <w:pStyle w:val="ListParagraph"/>
        <w:spacing w:line="276" w:lineRule="auto"/>
      </w:pPr>
    </w:p>
    <w:p w14:paraId="5BDFD824" w14:textId="3EA2A569" w:rsidR="004B2E1F" w:rsidRPr="00BA78D0" w:rsidRDefault="00324FBA" w:rsidP="007077C8">
      <w:pPr>
        <w:pStyle w:val="ListParagraph"/>
        <w:numPr>
          <w:ilvl w:val="0"/>
          <w:numId w:val="6"/>
        </w:numPr>
        <w:spacing w:line="276" w:lineRule="auto"/>
        <w:rPr>
          <w:rFonts w:eastAsiaTheme="minorHAnsi" w:cstheme="minorBidi"/>
          <w:szCs w:val="22"/>
        </w:rPr>
      </w:pPr>
      <w:r>
        <w:t>u</w:t>
      </w:r>
      <w:r w:rsidR="00F51CEB">
        <w:t xml:space="preserve">ndertake SMRs </w:t>
      </w:r>
      <w:r w:rsidR="0000501A">
        <w:t xml:space="preserve">and follow-up consultations </w:t>
      </w:r>
      <w:r w:rsidR="00793A10">
        <w:t>in line with detailed guidance</w:t>
      </w:r>
      <w:r>
        <w:t>.</w:t>
      </w:r>
      <w:r w:rsidR="004B2E1F" w:rsidRPr="00BA78D0">
        <w:t xml:space="preserve"> </w:t>
      </w:r>
      <w:r w:rsidR="001F68E3">
        <w:t>CCGs will review variation in the numbers of SMRs undertaken, which will inform the potential development of a standardised requirement in future years</w:t>
      </w:r>
      <w:r w:rsidR="00793A10">
        <w:t>;</w:t>
      </w:r>
    </w:p>
    <w:bookmarkEnd w:id="8"/>
    <w:p w14:paraId="3573B951" w14:textId="77777777" w:rsidR="004B2E1F" w:rsidRDefault="004B2E1F" w:rsidP="007077C8">
      <w:pPr>
        <w:pStyle w:val="ListParagraph"/>
        <w:spacing w:line="276" w:lineRule="auto"/>
        <w:rPr>
          <w:rFonts w:eastAsiaTheme="minorHAnsi" w:cstheme="minorBidi"/>
          <w:szCs w:val="22"/>
        </w:rPr>
      </w:pPr>
    </w:p>
    <w:p w14:paraId="339922E8" w14:textId="77777777" w:rsidR="004B2E1F" w:rsidRPr="00BA78D0" w:rsidRDefault="00B43C52" w:rsidP="007077C8">
      <w:pPr>
        <w:pStyle w:val="ListParagraph"/>
        <w:numPr>
          <w:ilvl w:val="0"/>
          <w:numId w:val="6"/>
        </w:numPr>
        <w:spacing w:line="276" w:lineRule="auto"/>
        <w:rPr>
          <w:rFonts w:eastAsiaTheme="minorHAnsi" w:cstheme="minorBidi"/>
          <w:szCs w:val="22"/>
        </w:rPr>
      </w:pPr>
      <w:r>
        <w:t>use a</w:t>
      </w:r>
      <w:r w:rsidR="004B2E1F">
        <w:t>ppropriate c</w:t>
      </w:r>
      <w:r w:rsidR="004B2E1F" w:rsidRPr="00BA78D0">
        <w:t xml:space="preserve">linical </w:t>
      </w:r>
      <w:r w:rsidR="007F4028" w:rsidRPr="00BA78D0">
        <w:t>decision-making</w:t>
      </w:r>
      <w:r w:rsidR="004B2E1F" w:rsidRPr="00BA78D0">
        <w:t xml:space="preserve"> tools to support the delivery of SMRs, examples of which will be provided through guidance</w:t>
      </w:r>
      <w:r w:rsidR="004B2E1F">
        <w:t>;</w:t>
      </w:r>
      <w:r w:rsidR="004B2E1F" w:rsidRPr="00BA78D0">
        <w:t xml:space="preserve"> </w:t>
      </w:r>
    </w:p>
    <w:p w14:paraId="14DCE6E4" w14:textId="77777777" w:rsidR="004B2E1F" w:rsidRPr="00BA78D0" w:rsidRDefault="004B2E1F" w:rsidP="007077C8">
      <w:pPr>
        <w:pStyle w:val="ListParagraph"/>
        <w:spacing w:line="276" w:lineRule="auto"/>
        <w:rPr>
          <w:rFonts w:eastAsiaTheme="minorHAnsi" w:cstheme="minorBidi"/>
          <w:szCs w:val="22"/>
        </w:rPr>
      </w:pPr>
    </w:p>
    <w:p w14:paraId="79926CAD" w14:textId="69FAAB72" w:rsidR="004B2E1F" w:rsidRPr="00BA78D0" w:rsidRDefault="00B43C52" w:rsidP="007077C8">
      <w:pPr>
        <w:pStyle w:val="ListParagraph"/>
        <w:numPr>
          <w:ilvl w:val="0"/>
          <w:numId w:val="6"/>
        </w:numPr>
        <w:spacing w:line="276" w:lineRule="auto"/>
      </w:pPr>
      <w:r>
        <w:t xml:space="preserve">clearly record </w:t>
      </w:r>
      <w:r w:rsidR="0000501A">
        <w:t>all</w:t>
      </w:r>
      <w:r w:rsidR="004B2E1F" w:rsidRPr="00BA78D0">
        <w:t xml:space="preserve"> SMRs</w:t>
      </w:r>
      <w:r w:rsidR="004B2E1F">
        <w:t xml:space="preserve"> </w:t>
      </w:r>
      <w:r w:rsidR="004B2E1F" w:rsidRPr="00BA78D0">
        <w:t>within GPIT systems</w:t>
      </w:r>
      <w:r>
        <w:t>,</w:t>
      </w:r>
      <w:r w:rsidR="004B2E1F" w:rsidRPr="00BA78D0">
        <w:t xml:space="preserve"> </w:t>
      </w:r>
      <w:r w:rsidR="004B2E1F">
        <w:t>as well as</w:t>
      </w:r>
      <w:r w:rsidR="0000501A">
        <w:t xml:space="preserve"> using appropriate clinical codes to signify the reasons for an</w:t>
      </w:r>
      <w:r w:rsidR="004B2E1F">
        <w:t xml:space="preserve"> </w:t>
      </w:r>
      <w:r w:rsidR="004B2E1F" w:rsidRPr="00BA78D0">
        <w:t>SMR</w:t>
      </w:r>
      <w:r w:rsidR="004B2E1F">
        <w:t>;</w:t>
      </w:r>
    </w:p>
    <w:p w14:paraId="01601D5E" w14:textId="77777777" w:rsidR="004B2E1F" w:rsidRPr="00BA78D0" w:rsidRDefault="004B2E1F" w:rsidP="007077C8">
      <w:pPr>
        <w:pStyle w:val="ListParagraph"/>
        <w:spacing w:line="276" w:lineRule="auto"/>
      </w:pPr>
    </w:p>
    <w:p w14:paraId="5F533DA5" w14:textId="546D1626" w:rsidR="004B2E1F" w:rsidRPr="00BA78D0" w:rsidRDefault="00B43C52" w:rsidP="007077C8">
      <w:pPr>
        <w:pStyle w:val="ListParagraph"/>
        <w:numPr>
          <w:ilvl w:val="0"/>
          <w:numId w:val="6"/>
        </w:numPr>
        <w:spacing w:line="276" w:lineRule="auto"/>
      </w:pPr>
      <w:r>
        <w:t xml:space="preserve">develop </w:t>
      </w:r>
      <w:r w:rsidR="004B2E1F" w:rsidRPr="00BA78D0">
        <w:t xml:space="preserve">local </w:t>
      </w:r>
      <w:r>
        <w:t xml:space="preserve">PCN </w:t>
      </w:r>
      <w:r w:rsidR="004B2E1F" w:rsidRPr="00BA78D0">
        <w:t>action plan</w:t>
      </w:r>
      <w:r>
        <w:t>s</w:t>
      </w:r>
      <w:r w:rsidR="004B2E1F" w:rsidRPr="00BA78D0">
        <w:t xml:space="preserve"> to reduce inappropriate prescribing of </w:t>
      </w:r>
      <w:r>
        <w:t xml:space="preserve">(a) </w:t>
      </w:r>
      <w:r w:rsidR="004B2E1F" w:rsidRPr="00BA78D0">
        <w:t xml:space="preserve">antimicrobial medicines, </w:t>
      </w:r>
      <w:r>
        <w:t xml:space="preserve">(b) </w:t>
      </w:r>
      <w:r w:rsidR="004B2E1F" w:rsidRPr="00BA78D0">
        <w:t>medicines which can cause dependency</w:t>
      </w:r>
      <w:r>
        <w:t>,</w:t>
      </w:r>
      <w:r w:rsidR="004B2E1F" w:rsidRPr="00BA78D0">
        <w:t xml:space="preserve"> and </w:t>
      </w:r>
      <w:r>
        <w:t xml:space="preserve">(c) </w:t>
      </w:r>
      <w:r w:rsidR="00CE6A32">
        <w:t xml:space="preserve">nationally identified </w:t>
      </w:r>
      <w:r w:rsidR="004B2E1F" w:rsidRPr="00BA78D0">
        <w:t xml:space="preserve">medicines of low </w:t>
      </w:r>
      <w:r w:rsidR="00501533">
        <w:t>priority</w:t>
      </w:r>
      <w:r w:rsidR="004B2E1F" w:rsidRPr="00BA78D0">
        <w:t>. This plan will react to guidance specifying how the PCN will deliver against the guidance</w:t>
      </w:r>
      <w:r w:rsidR="004B2E1F">
        <w:t>;</w:t>
      </w:r>
    </w:p>
    <w:p w14:paraId="1770BA03" w14:textId="77777777" w:rsidR="004B2E1F" w:rsidRPr="00BA78D0" w:rsidRDefault="004B2E1F" w:rsidP="007077C8">
      <w:pPr>
        <w:pStyle w:val="ListParagraph"/>
        <w:spacing w:line="276" w:lineRule="auto"/>
      </w:pPr>
    </w:p>
    <w:p w14:paraId="5A9CC693" w14:textId="259A8FD5" w:rsidR="004B2E1F" w:rsidRPr="00BA78D0" w:rsidRDefault="004B2E1F" w:rsidP="007077C8">
      <w:pPr>
        <w:pStyle w:val="ListParagraph"/>
        <w:numPr>
          <w:ilvl w:val="0"/>
          <w:numId w:val="6"/>
        </w:numPr>
        <w:spacing w:line="276" w:lineRule="auto"/>
      </w:pPr>
      <w:r w:rsidRPr="00BA78D0">
        <w:t xml:space="preserve">work with community pharmacies locally to ensure alignment with delivery of both the New Medicines Service </w:t>
      </w:r>
      <w:r w:rsidR="0099484D">
        <w:t xml:space="preserve">(to support adherence to newly-prescribed medicines) </w:t>
      </w:r>
      <w:r w:rsidRPr="00BA78D0">
        <w:t xml:space="preserve">and developing </w:t>
      </w:r>
      <w:r w:rsidR="002F049D">
        <w:t>m</w:t>
      </w:r>
      <w:r w:rsidRPr="00BA78D0">
        <w:t xml:space="preserve">edicines </w:t>
      </w:r>
      <w:r w:rsidR="002F049D">
        <w:t>r</w:t>
      </w:r>
      <w:r w:rsidRPr="00BA78D0">
        <w:t xml:space="preserve">econciliation </w:t>
      </w:r>
      <w:r w:rsidR="002F049D">
        <w:t>s</w:t>
      </w:r>
      <w:r w:rsidRPr="00BA78D0">
        <w:t>ervice</w:t>
      </w:r>
      <w:r w:rsidR="002F049D">
        <w:t>s</w:t>
      </w:r>
      <w:r w:rsidR="0099484D">
        <w:t xml:space="preserve"> (to support effective transfers of care between hospital and community</w:t>
      </w:r>
      <w:r w:rsidR="001F68E3">
        <w:t>)</w:t>
      </w:r>
      <w:r>
        <w:t>;</w:t>
      </w:r>
    </w:p>
    <w:p w14:paraId="4B7AEC2A" w14:textId="77777777" w:rsidR="004B2E1F" w:rsidRPr="00BA78D0" w:rsidRDefault="004B2E1F" w:rsidP="007077C8">
      <w:pPr>
        <w:pStyle w:val="ListParagraph"/>
        <w:spacing w:line="276" w:lineRule="auto"/>
      </w:pPr>
    </w:p>
    <w:p w14:paraId="45C2DD47" w14:textId="541BAB86" w:rsidR="004B2E1F" w:rsidRPr="00BA78D0" w:rsidRDefault="001F68E3" w:rsidP="007077C8">
      <w:pPr>
        <w:pStyle w:val="ListParagraph"/>
        <w:numPr>
          <w:ilvl w:val="0"/>
          <w:numId w:val="6"/>
        </w:numPr>
        <w:spacing w:line="276" w:lineRule="auto"/>
      </w:pPr>
      <w:r>
        <w:t>ensure d</w:t>
      </w:r>
      <w:r w:rsidR="004B2E1F" w:rsidRPr="00BA78D0">
        <w:t xml:space="preserve">elivery of </w:t>
      </w:r>
      <w:r w:rsidR="004B2E1F">
        <w:t xml:space="preserve">SMRs and medication optimisation </w:t>
      </w:r>
      <w:r w:rsidR="004B2E1F" w:rsidRPr="00BA78D0">
        <w:t>aligns to the work of medicines optimisation teams within CCGs</w:t>
      </w:r>
      <w:r w:rsidR="004B2E1F">
        <w:t xml:space="preserve"> local to the PCN</w:t>
      </w:r>
      <w:r w:rsidR="00466474">
        <w:t>.</w:t>
      </w:r>
    </w:p>
    <w:p w14:paraId="5FAFB459" w14:textId="77777777" w:rsidR="004B2E1F" w:rsidRDefault="004B2E1F" w:rsidP="007077C8">
      <w:pPr>
        <w:spacing w:after="0" w:line="276" w:lineRule="auto"/>
        <w:rPr>
          <w:b/>
        </w:rPr>
      </w:pPr>
    </w:p>
    <w:p w14:paraId="72A6A613" w14:textId="77777777" w:rsidR="00324FBA" w:rsidRPr="004B2E1F" w:rsidRDefault="002D6C93" w:rsidP="007077C8">
      <w:pPr>
        <w:spacing w:line="276" w:lineRule="auto"/>
        <w:rPr>
          <w:b/>
        </w:rPr>
      </w:pPr>
      <w:r>
        <w:rPr>
          <w:b/>
        </w:rPr>
        <w:t xml:space="preserve">Proposed </w:t>
      </w:r>
      <w:r w:rsidR="004B2E1F">
        <w:rPr>
          <w:b/>
        </w:rPr>
        <w:t>Metrics</w:t>
      </w:r>
    </w:p>
    <w:p w14:paraId="7E3E2EBE" w14:textId="6DBE64FA" w:rsidR="004B2E1F" w:rsidRDefault="00A359B6" w:rsidP="007077C8">
      <w:pPr>
        <w:pStyle w:val="ListParagraph"/>
        <w:numPr>
          <w:ilvl w:val="1"/>
          <w:numId w:val="23"/>
        </w:numPr>
        <w:spacing w:line="276" w:lineRule="auto"/>
      </w:pPr>
      <w:r>
        <w:t>Proposed</w:t>
      </w:r>
      <w:r w:rsidRPr="00E72E23">
        <w:t xml:space="preserve"> </w:t>
      </w:r>
      <w:r w:rsidR="004B2E1F" w:rsidRPr="00E72E23">
        <w:t xml:space="preserve">metrics to monitor the success of the service </w:t>
      </w:r>
      <w:r>
        <w:t>are set out below</w:t>
      </w:r>
      <w:r w:rsidR="00324FBA">
        <w:t>:</w:t>
      </w:r>
      <w:r w:rsidR="00F54B06">
        <w:t xml:space="preserve"> </w:t>
      </w:r>
    </w:p>
    <w:p w14:paraId="32943B5E" w14:textId="0143A965" w:rsidR="004B2E1F" w:rsidRDefault="004B2E1F" w:rsidP="00102EB8">
      <w:pPr>
        <w:pStyle w:val="ListParagraph"/>
        <w:spacing w:line="276" w:lineRule="auto"/>
      </w:pPr>
    </w:p>
    <w:p w14:paraId="1BC6351A" w14:textId="77777777" w:rsidR="00102EB8" w:rsidRDefault="00102EB8" w:rsidP="00145C54">
      <w:pPr>
        <w:pStyle w:val="ListParagraph"/>
        <w:spacing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4156A279" w14:textId="77777777" w:rsidTr="008478F3">
        <w:tc>
          <w:tcPr>
            <w:tcW w:w="551" w:type="dxa"/>
            <w:shd w:val="clear" w:color="auto" w:fill="4472C4" w:themeFill="accent1"/>
          </w:tcPr>
          <w:p w14:paraId="7BB640DD" w14:textId="77777777" w:rsidR="008478F3" w:rsidRDefault="008478F3" w:rsidP="00145C54">
            <w:pPr>
              <w:pStyle w:val="ListParagraph"/>
              <w:spacing w:line="276" w:lineRule="auto"/>
              <w:ind w:left="0"/>
            </w:pPr>
          </w:p>
        </w:tc>
        <w:tc>
          <w:tcPr>
            <w:tcW w:w="7745" w:type="dxa"/>
            <w:shd w:val="clear" w:color="auto" w:fill="4472C4" w:themeFill="accent1"/>
          </w:tcPr>
          <w:p w14:paraId="19E35593" w14:textId="77777777" w:rsidR="008478F3" w:rsidRPr="008478F3" w:rsidRDefault="008478F3" w:rsidP="00145C54">
            <w:pPr>
              <w:spacing w:line="276" w:lineRule="auto"/>
              <w:rPr>
                <w:b/>
              </w:rPr>
            </w:pPr>
            <w:r w:rsidRPr="008478F3">
              <w:rPr>
                <w:b/>
              </w:rPr>
              <w:t>Metric description</w:t>
            </w:r>
          </w:p>
        </w:tc>
      </w:tr>
      <w:tr w:rsidR="008478F3" w14:paraId="02F8FEAF" w14:textId="77777777" w:rsidTr="008478F3">
        <w:tc>
          <w:tcPr>
            <w:tcW w:w="551" w:type="dxa"/>
          </w:tcPr>
          <w:p w14:paraId="33A3CD08" w14:textId="77777777" w:rsidR="008478F3" w:rsidRDefault="008478F3" w:rsidP="00145C54">
            <w:pPr>
              <w:pStyle w:val="ListParagraph"/>
              <w:spacing w:line="276" w:lineRule="auto"/>
              <w:ind w:left="0"/>
            </w:pPr>
            <w:r>
              <w:t>1.</w:t>
            </w:r>
          </w:p>
        </w:tc>
        <w:tc>
          <w:tcPr>
            <w:tcW w:w="7745" w:type="dxa"/>
          </w:tcPr>
          <w:p w14:paraId="2DFD73EA" w14:textId="77777777" w:rsidR="008478F3" w:rsidRDefault="008478F3" w:rsidP="00145C54">
            <w:pPr>
              <w:spacing w:line="276" w:lineRule="auto"/>
            </w:pPr>
            <w:r w:rsidRPr="00E72E23">
              <w:t>The number of individual SMR episodes undertaken</w:t>
            </w:r>
            <w:r>
              <w:t>, including:</w:t>
            </w:r>
          </w:p>
          <w:p w14:paraId="6F54A0D6" w14:textId="77777777" w:rsidR="008478F3" w:rsidRDefault="008478F3" w:rsidP="00145C54">
            <w:pPr>
              <w:pStyle w:val="ListParagraph"/>
              <w:numPr>
                <w:ilvl w:val="0"/>
                <w:numId w:val="42"/>
              </w:numPr>
              <w:spacing w:line="276" w:lineRule="auto"/>
              <w:rPr>
                <w:rFonts w:eastAsia="HGSMinchoE"/>
                <w:szCs w:val="24"/>
              </w:rPr>
            </w:pPr>
            <w:r w:rsidRPr="008478F3">
              <w:rPr>
                <w:rFonts w:eastAsia="HGSMinchoE"/>
                <w:szCs w:val="24"/>
              </w:rPr>
              <w:t>The number of SMR processes undertaken (number of individual patients given one or more SMR appointment)</w:t>
            </w:r>
          </w:p>
          <w:p w14:paraId="6C188025" w14:textId="59B43047" w:rsidR="008478F3" w:rsidRDefault="008478F3" w:rsidP="00145C54">
            <w:pPr>
              <w:pStyle w:val="ListParagraph"/>
              <w:numPr>
                <w:ilvl w:val="0"/>
                <w:numId w:val="42"/>
              </w:numPr>
              <w:spacing w:line="276" w:lineRule="auto"/>
            </w:pPr>
            <w:r w:rsidRPr="00E72E23">
              <w:t xml:space="preserve">The number of SMR follow-up appointments </w:t>
            </w:r>
          </w:p>
        </w:tc>
      </w:tr>
      <w:tr w:rsidR="008478F3" w14:paraId="6D1D1587" w14:textId="77777777" w:rsidTr="008478F3">
        <w:tc>
          <w:tcPr>
            <w:tcW w:w="551" w:type="dxa"/>
          </w:tcPr>
          <w:p w14:paraId="254F4123" w14:textId="77777777" w:rsidR="008478F3" w:rsidRDefault="008478F3" w:rsidP="00145C54">
            <w:pPr>
              <w:pStyle w:val="ListParagraph"/>
              <w:spacing w:line="276" w:lineRule="auto"/>
              <w:ind w:left="0"/>
            </w:pPr>
            <w:r>
              <w:t>2.</w:t>
            </w:r>
          </w:p>
        </w:tc>
        <w:tc>
          <w:tcPr>
            <w:tcW w:w="7745" w:type="dxa"/>
          </w:tcPr>
          <w:p w14:paraId="6C82B315" w14:textId="77777777" w:rsidR="008478F3" w:rsidRDefault="008478F3" w:rsidP="00145C54">
            <w:pPr>
              <w:spacing w:line="276" w:lineRule="auto"/>
            </w:pPr>
            <w:r>
              <w:t xml:space="preserve">Outcome measurement to monitor impact of SMR </w:t>
            </w:r>
          </w:p>
        </w:tc>
      </w:tr>
      <w:tr w:rsidR="008478F3" w14:paraId="503061BA" w14:textId="77777777" w:rsidTr="008478F3">
        <w:tc>
          <w:tcPr>
            <w:tcW w:w="551" w:type="dxa"/>
          </w:tcPr>
          <w:p w14:paraId="0FCFC146" w14:textId="77777777" w:rsidR="008478F3" w:rsidRDefault="008478F3" w:rsidP="00145C54">
            <w:pPr>
              <w:pStyle w:val="ListParagraph"/>
              <w:spacing w:line="276" w:lineRule="auto"/>
              <w:ind w:left="0"/>
            </w:pPr>
            <w:r>
              <w:t>3.</w:t>
            </w:r>
          </w:p>
        </w:tc>
        <w:tc>
          <w:tcPr>
            <w:tcW w:w="7745" w:type="dxa"/>
          </w:tcPr>
          <w:p w14:paraId="30A1F492" w14:textId="526BA7AC" w:rsidR="008478F3" w:rsidRDefault="008478F3" w:rsidP="00145C54">
            <w:pPr>
              <w:spacing w:line="276" w:lineRule="auto"/>
            </w:pPr>
            <w:r>
              <w:t>Prescribing rate</w:t>
            </w:r>
            <w:r w:rsidRPr="00E72E23">
              <w:t xml:space="preserve"> of </w:t>
            </w:r>
            <w:r>
              <w:t xml:space="preserve">nationally </w:t>
            </w:r>
            <w:r w:rsidRPr="00E72E23">
              <w:t>identified medicines of low value that should not be routinely prescribed</w:t>
            </w:r>
          </w:p>
        </w:tc>
      </w:tr>
      <w:tr w:rsidR="00466474" w14:paraId="43D9E7D1" w14:textId="77777777" w:rsidTr="008478F3">
        <w:tc>
          <w:tcPr>
            <w:tcW w:w="551" w:type="dxa"/>
          </w:tcPr>
          <w:p w14:paraId="6D1FE5C1" w14:textId="05DA7EA8" w:rsidR="00466474" w:rsidRDefault="00466474" w:rsidP="00145C54">
            <w:pPr>
              <w:pStyle w:val="ListParagraph"/>
              <w:spacing w:line="276" w:lineRule="auto"/>
              <w:ind w:left="0"/>
            </w:pPr>
            <w:r>
              <w:t>4.</w:t>
            </w:r>
          </w:p>
        </w:tc>
        <w:tc>
          <w:tcPr>
            <w:tcW w:w="7745" w:type="dxa"/>
          </w:tcPr>
          <w:p w14:paraId="7BBE052F" w14:textId="153E3973" w:rsidR="00466474" w:rsidRDefault="00466474" w:rsidP="00145C54">
            <w:pPr>
              <w:spacing w:line="276" w:lineRule="auto"/>
            </w:pPr>
            <w:r>
              <w:t xml:space="preserve">Prescribing rate of </w:t>
            </w:r>
            <w:r w:rsidR="00C525C9">
              <w:t>low carbon</w:t>
            </w:r>
            <w:r>
              <w:t xml:space="preserve"> inhalers</w:t>
            </w:r>
          </w:p>
        </w:tc>
      </w:tr>
      <w:tr w:rsidR="008478F3" w14:paraId="6E05C5C6" w14:textId="77777777" w:rsidTr="008478F3">
        <w:tc>
          <w:tcPr>
            <w:tcW w:w="551" w:type="dxa"/>
          </w:tcPr>
          <w:p w14:paraId="6B21EA7E" w14:textId="070C481B" w:rsidR="008478F3" w:rsidRDefault="00466474" w:rsidP="00145C54">
            <w:pPr>
              <w:pStyle w:val="ListParagraph"/>
              <w:spacing w:line="276" w:lineRule="auto"/>
              <w:ind w:left="0"/>
            </w:pPr>
            <w:r>
              <w:t>5</w:t>
            </w:r>
            <w:r w:rsidR="008478F3">
              <w:t>.</w:t>
            </w:r>
          </w:p>
        </w:tc>
        <w:tc>
          <w:tcPr>
            <w:tcW w:w="7745" w:type="dxa"/>
          </w:tcPr>
          <w:p w14:paraId="0F2DE062" w14:textId="7FDB13A6" w:rsidR="008478F3" w:rsidRDefault="008478F3" w:rsidP="00145C54">
            <w:pPr>
              <w:pStyle w:val="ListParagraph"/>
              <w:spacing w:line="276" w:lineRule="auto"/>
              <w:ind w:left="0"/>
            </w:pPr>
            <w:r>
              <w:t>Prescribin</w:t>
            </w:r>
            <w:r w:rsidRPr="00E72E23">
              <w:t>g</w:t>
            </w:r>
            <w:r w:rsidR="00466474">
              <w:t xml:space="preserve"> rate</w:t>
            </w:r>
            <w:r>
              <w:t xml:space="preserve"> </w:t>
            </w:r>
            <w:r w:rsidRPr="00E72E23">
              <w:t>of medicines that can cause dependency</w:t>
            </w:r>
          </w:p>
        </w:tc>
      </w:tr>
      <w:tr w:rsidR="008478F3" w14:paraId="2CEEB21C" w14:textId="77777777" w:rsidTr="008478F3">
        <w:tc>
          <w:tcPr>
            <w:tcW w:w="551" w:type="dxa"/>
          </w:tcPr>
          <w:p w14:paraId="6E812347" w14:textId="128DC556" w:rsidR="008478F3" w:rsidRDefault="00466474" w:rsidP="00145C54">
            <w:pPr>
              <w:pStyle w:val="ListParagraph"/>
              <w:spacing w:line="276" w:lineRule="auto"/>
              <w:ind w:left="0"/>
            </w:pPr>
            <w:r>
              <w:t>6</w:t>
            </w:r>
            <w:r w:rsidR="008478F3">
              <w:t>.</w:t>
            </w:r>
          </w:p>
        </w:tc>
        <w:tc>
          <w:tcPr>
            <w:tcW w:w="7745" w:type="dxa"/>
          </w:tcPr>
          <w:p w14:paraId="6B335FCA" w14:textId="797AECDA" w:rsidR="008478F3" w:rsidRDefault="008478F3" w:rsidP="00145C54">
            <w:pPr>
              <w:spacing w:line="276" w:lineRule="auto"/>
            </w:pPr>
            <w:r>
              <w:t xml:space="preserve">Prescribing </w:t>
            </w:r>
            <w:r w:rsidR="00466474">
              <w:t>rate</w:t>
            </w:r>
            <w:r>
              <w:t xml:space="preserve"> of </w:t>
            </w:r>
            <w:r w:rsidRPr="00E72E23">
              <w:t>anti-microbial</w:t>
            </w:r>
            <w:r>
              <w:t xml:space="preserve"> medication</w:t>
            </w:r>
          </w:p>
        </w:tc>
      </w:tr>
    </w:tbl>
    <w:p w14:paraId="5C339B09" w14:textId="77777777" w:rsidR="008478F3" w:rsidRDefault="008478F3" w:rsidP="00145C54">
      <w:pPr>
        <w:pStyle w:val="ListParagraph"/>
        <w:spacing w:line="276" w:lineRule="auto"/>
      </w:pPr>
    </w:p>
    <w:p w14:paraId="3006C398" w14:textId="77777777" w:rsidR="004B2E1F" w:rsidRDefault="00031972" w:rsidP="00145C54">
      <w:pPr>
        <w:pStyle w:val="ListParagraph"/>
        <w:numPr>
          <w:ilvl w:val="1"/>
          <w:numId w:val="23"/>
        </w:numPr>
        <w:tabs>
          <w:tab w:val="left" w:pos="2010"/>
        </w:tabs>
        <w:spacing w:line="276" w:lineRule="auto"/>
      </w:pPr>
      <w:r>
        <w:t xml:space="preserve">Reducing unwarranted prescribing spend </w:t>
      </w:r>
      <w:proofErr w:type="gramStart"/>
      <w:r>
        <w:t>in particular areas</w:t>
      </w:r>
      <w:proofErr w:type="gramEnd"/>
      <w:r>
        <w:t xml:space="preserve"> is likely to be </w:t>
      </w:r>
      <w:r w:rsidR="00CE6A32">
        <w:t>one</w:t>
      </w:r>
      <w:r>
        <w:t xml:space="preserve"> early focus of the Investment and Impact Fund, with progress expected to be measured against baseline levels of performance in 2019/2</w:t>
      </w:r>
      <w:r w:rsidR="00B12953">
        <w:t>0</w:t>
      </w:r>
      <w:r>
        <w:t xml:space="preserve">. </w:t>
      </w:r>
    </w:p>
    <w:p w14:paraId="0E8A58AB" w14:textId="77777777" w:rsidR="004B2E1F" w:rsidRDefault="004B2E1F">
      <w:r>
        <w:br w:type="page"/>
      </w:r>
    </w:p>
    <w:p w14:paraId="6C783F4E" w14:textId="77777777" w:rsidR="004B2E1F" w:rsidRDefault="004B2E1F" w:rsidP="000A0F1E">
      <w:pPr>
        <w:pStyle w:val="Heading1"/>
        <w:numPr>
          <w:ilvl w:val="0"/>
          <w:numId w:val="1"/>
        </w:numPr>
        <w:ind w:left="-142"/>
      </w:pPr>
      <w:bookmarkStart w:id="9" w:name="_Toc27473067"/>
      <w:r>
        <w:lastRenderedPageBreak/>
        <w:t>Enhanced Health in Care Homes</w:t>
      </w:r>
      <w:bookmarkEnd w:id="9"/>
    </w:p>
    <w:p w14:paraId="5C219376" w14:textId="77777777" w:rsidR="004B2E1F" w:rsidRDefault="004B2E1F" w:rsidP="004B2E1F">
      <w:pPr>
        <w:pStyle w:val="ListParagraph"/>
        <w:ind w:left="567"/>
      </w:pPr>
    </w:p>
    <w:p w14:paraId="0F230716" w14:textId="69346D65" w:rsidR="00881089" w:rsidRDefault="00881089" w:rsidP="00561BFE">
      <w:pPr>
        <w:spacing w:after="0" w:line="276" w:lineRule="auto"/>
        <w:rPr>
          <w:rFonts w:cs="Arial"/>
          <w:b/>
          <w:color w:val="202A30"/>
          <w:szCs w:val="24"/>
          <w:shd w:val="clear" w:color="auto" w:fill="FFFFFF"/>
        </w:rPr>
      </w:pPr>
      <w:r w:rsidRPr="00881089">
        <w:rPr>
          <w:rFonts w:cs="Arial"/>
          <w:b/>
          <w:color w:val="202A30"/>
          <w:szCs w:val="24"/>
          <w:shd w:val="clear" w:color="auto" w:fill="FFFFFF"/>
        </w:rPr>
        <w:t>Introduction</w:t>
      </w:r>
    </w:p>
    <w:p w14:paraId="1B55B381" w14:textId="77777777" w:rsidR="00561BFE" w:rsidRPr="00881089" w:rsidRDefault="00561BFE" w:rsidP="00561BFE">
      <w:pPr>
        <w:spacing w:after="0" w:line="276" w:lineRule="auto"/>
        <w:rPr>
          <w:rFonts w:cs="Arial"/>
          <w:b/>
          <w:color w:val="202A30"/>
          <w:szCs w:val="24"/>
          <w:shd w:val="clear" w:color="auto" w:fill="FFFFFF"/>
        </w:rPr>
      </w:pPr>
    </w:p>
    <w:p w14:paraId="4DD39C13" w14:textId="30E9576D" w:rsidR="004B2E1F" w:rsidRPr="0092217C" w:rsidRDefault="004B2E1F" w:rsidP="00561BFE">
      <w:pPr>
        <w:pStyle w:val="ListParagraph"/>
        <w:numPr>
          <w:ilvl w:val="1"/>
          <w:numId w:val="24"/>
        </w:numPr>
        <w:spacing w:line="276" w:lineRule="auto"/>
        <w:rPr>
          <w:rFonts w:cs="Arial"/>
          <w:szCs w:val="24"/>
        </w:rPr>
      </w:pPr>
      <w:r w:rsidRPr="0092217C">
        <w:rPr>
          <w:rFonts w:cs="Arial"/>
          <w:color w:val="202A30"/>
          <w:szCs w:val="24"/>
          <w:shd w:val="clear" w:color="auto" w:fill="FFFFFF"/>
        </w:rPr>
        <w:t xml:space="preserve">One in seven people aged 85 or over permanently live in a care home. People living in care homes account for 185,000 emergency admissions each year and 1.46 million emergency bed days, with 35-40% of emergency admissions </w:t>
      </w:r>
      <w:r w:rsidR="00E70016">
        <w:rPr>
          <w:rFonts w:cs="Arial"/>
          <w:color w:val="202A30"/>
          <w:szCs w:val="24"/>
          <w:shd w:val="clear" w:color="auto" w:fill="FFFFFF"/>
        </w:rPr>
        <w:t xml:space="preserve">being </w:t>
      </w:r>
      <w:r w:rsidRPr="0092217C">
        <w:rPr>
          <w:rFonts w:cs="Arial"/>
          <w:color w:val="202A30"/>
          <w:szCs w:val="24"/>
          <w:shd w:val="clear" w:color="auto" w:fill="FFFFFF"/>
        </w:rPr>
        <w:t>potentially avoidable</w:t>
      </w:r>
      <w:r>
        <w:rPr>
          <w:rStyle w:val="FootnoteReference"/>
          <w:rFonts w:cs="Arial"/>
          <w:color w:val="202A30"/>
          <w:szCs w:val="24"/>
          <w:shd w:val="clear" w:color="auto" w:fill="FFFFFF"/>
        </w:rPr>
        <w:footnoteReference w:id="5"/>
      </w:r>
      <w:r w:rsidRPr="0092217C">
        <w:rPr>
          <w:rFonts w:cs="Arial"/>
          <w:color w:val="202A30"/>
          <w:szCs w:val="24"/>
          <w:shd w:val="clear" w:color="auto" w:fill="FFFFFF"/>
        </w:rPr>
        <w:t>. Evidence suggests that many people living in care homes are not having their needs assessed and addressed as well as they could be, often resulting in unnecessary, unplanned and avoidable admissions to hospital and sub-optimal medication regimes.</w:t>
      </w:r>
    </w:p>
    <w:p w14:paraId="4A1770E0" w14:textId="77777777" w:rsidR="004B2E1F" w:rsidRPr="000B16D5" w:rsidRDefault="004B2E1F" w:rsidP="00561BFE">
      <w:pPr>
        <w:pStyle w:val="ListParagraph"/>
        <w:spacing w:line="276" w:lineRule="auto"/>
        <w:rPr>
          <w:rFonts w:cs="Arial"/>
          <w:szCs w:val="24"/>
        </w:rPr>
      </w:pPr>
    </w:p>
    <w:p w14:paraId="00521167" w14:textId="62572A62" w:rsidR="004B2E1F" w:rsidRDefault="004B2E1F" w:rsidP="00561BFE">
      <w:pPr>
        <w:pStyle w:val="ListParagraph"/>
        <w:numPr>
          <w:ilvl w:val="1"/>
          <w:numId w:val="24"/>
        </w:numPr>
        <w:spacing w:line="276" w:lineRule="auto"/>
      </w:pPr>
      <w:r>
        <w:t xml:space="preserve">People living in care homes should expect the same level of support as if they were living in their own home.  This can only be achieved through collaborative working between health, social care, </w:t>
      </w:r>
      <w:r w:rsidR="00E70016">
        <w:t xml:space="preserve">the </w:t>
      </w:r>
      <w:r>
        <w:t xml:space="preserve">voluntary sector and care home partners. </w:t>
      </w:r>
    </w:p>
    <w:p w14:paraId="67724F98" w14:textId="77777777" w:rsidR="004B2E1F" w:rsidRDefault="004B2E1F" w:rsidP="00561BFE">
      <w:pPr>
        <w:pStyle w:val="ListParagraph"/>
        <w:spacing w:line="276" w:lineRule="auto"/>
      </w:pPr>
    </w:p>
    <w:p w14:paraId="27645662" w14:textId="77777777" w:rsidR="004B2E1F" w:rsidRPr="00725499" w:rsidRDefault="004B2E1F" w:rsidP="00561BFE">
      <w:pPr>
        <w:pStyle w:val="ListParagraph"/>
        <w:numPr>
          <w:ilvl w:val="1"/>
          <w:numId w:val="24"/>
        </w:numPr>
        <w:spacing w:line="276" w:lineRule="auto"/>
      </w:pPr>
      <w:r>
        <w:t>In 2016, the New Care Models programme developed and tested the Enhanced Health in Care Homes (</w:t>
      </w:r>
      <w:r w:rsidRPr="00696F7C">
        <w:t>EHCH</w:t>
      </w:r>
      <w:r>
        <w:t>)</w:t>
      </w:r>
      <w:r w:rsidRPr="00696F7C">
        <w:t xml:space="preserve"> </w:t>
      </w:r>
      <w:r>
        <w:t>F</w:t>
      </w:r>
      <w:r w:rsidRPr="00696F7C">
        <w:t>ramework</w:t>
      </w:r>
      <w:r w:rsidRPr="00540111">
        <w:rPr>
          <w:rStyle w:val="FootnoteReference"/>
          <w:lang w:eastAsia="en-GB"/>
        </w:rPr>
        <w:footnoteReference w:id="6"/>
      </w:r>
      <w:r>
        <w:t xml:space="preserve"> </w:t>
      </w:r>
      <w:r w:rsidRPr="00696F7C">
        <w:t>to improve health</w:t>
      </w:r>
      <w:r>
        <w:t xml:space="preserve"> and </w:t>
      </w:r>
      <w:r w:rsidRPr="00696F7C">
        <w:t>care provision for people living in care homes</w:t>
      </w:r>
      <w:r>
        <w:t xml:space="preserve">. </w:t>
      </w:r>
      <w:r w:rsidRPr="0032284F">
        <w:t>In implementing the EHCH service, local areas showed how to improve services and outcomes for people living in care homes and those who require support to</w:t>
      </w:r>
      <w:r w:rsidRPr="004B2E1F">
        <w:t xml:space="preserve"> live independently in the community</w:t>
      </w:r>
      <w:r>
        <w:rPr>
          <w:rStyle w:val="FootnoteReference"/>
        </w:rPr>
        <w:footnoteReference w:id="7"/>
      </w:r>
      <w:r w:rsidRPr="004B2E1F">
        <w:t xml:space="preserve">. </w:t>
      </w:r>
    </w:p>
    <w:p w14:paraId="4F52BF7F" w14:textId="77777777" w:rsidR="004B2E1F" w:rsidRPr="00725499" w:rsidRDefault="004B2E1F" w:rsidP="00561BFE">
      <w:pPr>
        <w:pStyle w:val="ListParagraph"/>
        <w:spacing w:line="276" w:lineRule="auto"/>
        <w:ind w:left="567"/>
      </w:pPr>
    </w:p>
    <w:p w14:paraId="3489596F" w14:textId="0F2EBA5C" w:rsidR="004B2E1F" w:rsidRDefault="004B2E1F" w:rsidP="00561BFE">
      <w:pPr>
        <w:pStyle w:val="ListParagraph"/>
        <w:numPr>
          <w:ilvl w:val="1"/>
          <w:numId w:val="24"/>
        </w:numPr>
        <w:spacing w:line="276" w:lineRule="auto"/>
      </w:pPr>
      <w:r w:rsidRPr="00725499">
        <w:t>Given the</w:t>
      </w:r>
      <w:r w:rsidRPr="004B2E1F">
        <w:t xml:space="preserve"> efficacy of the model, the Long-Term Plan and GP Contract Framework made a commitment to implementing the clinical elements of EHCH nationally </w:t>
      </w:r>
      <w:r w:rsidR="001911D3">
        <w:t>during</w:t>
      </w:r>
      <w:r w:rsidRPr="004B2E1F">
        <w:t xml:space="preserve"> 2020</w:t>
      </w:r>
      <w:r w:rsidR="001911D3">
        <w:t>/21</w:t>
      </w:r>
      <w:r w:rsidRPr="004B2E1F">
        <w:t xml:space="preserve">. </w:t>
      </w:r>
      <w:r w:rsidR="00010BC8" w:rsidRPr="00C525C9">
        <w:t xml:space="preserve">Implementation of the EHCH service is </w:t>
      </w:r>
      <w:r w:rsidR="00BF1BF2" w:rsidRPr="00C525C9">
        <w:t>a</w:t>
      </w:r>
      <w:r w:rsidR="00010BC8" w:rsidRPr="00C525C9">
        <w:t xml:space="preserve"> national priority for primary and community care-based service integration, and we </w:t>
      </w:r>
      <w:r w:rsidR="00BF1BF2" w:rsidRPr="00C525C9">
        <w:t>will be expecting all ICSs/STPs and CCGs to prioritise supporting full and successful delivery</w:t>
      </w:r>
      <w:r w:rsidR="00C525C9">
        <w:t>.</w:t>
      </w:r>
    </w:p>
    <w:p w14:paraId="1438B930" w14:textId="77777777" w:rsidR="00FD3C87" w:rsidRDefault="00FD3C87" w:rsidP="00561BFE">
      <w:pPr>
        <w:pStyle w:val="ListParagraph"/>
        <w:spacing w:line="276" w:lineRule="auto"/>
      </w:pPr>
    </w:p>
    <w:p w14:paraId="5F253350" w14:textId="77777777" w:rsidR="00FD3C87" w:rsidRPr="00E5688F" w:rsidRDefault="00FD3C87" w:rsidP="00561BFE">
      <w:pPr>
        <w:spacing w:after="0" w:line="276" w:lineRule="auto"/>
      </w:pPr>
      <w:r w:rsidRPr="003F5F88">
        <w:rPr>
          <w:rFonts w:cs="Arial"/>
          <w:b/>
        </w:rPr>
        <w:t>Existing provision and available support for PCNs</w:t>
      </w:r>
    </w:p>
    <w:p w14:paraId="312E6BD7" w14:textId="77777777" w:rsidR="00FD3C87" w:rsidRDefault="00FD3C87" w:rsidP="00561BFE">
      <w:pPr>
        <w:pStyle w:val="ListParagraph"/>
        <w:spacing w:line="276" w:lineRule="auto"/>
      </w:pPr>
    </w:p>
    <w:p w14:paraId="5CEBE089" w14:textId="4345FCB6" w:rsidR="006F613D" w:rsidRDefault="00FD3C87" w:rsidP="00561BFE">
      <w:pPr>
        <w:pStyle w:val="ListParagraph"/>
        <w:numPr>
          <w:ilvl w:val="1"/>
          <w:numId w:val="24"/>
        </w:numPr>
        <w:spacing w:line="276" w:lineRule="auto"/>
      </w:pPr>
      <w:r>
        <w:t>There i</w:t>
      </w:r>
      <w:r w:rsidR="002B507C">
        <w:t>s evidence of substantial existing enhanced primary and community provision to residential and nursing homes.</w:t>
      </w:r>
      <w:r w:rsidR="006F613D">
        <w:t xml:space="preserve"> Data collected from CCGs for 2018/19 suggests that </w:t>
      </w:r>
      <w:r w:rsidR="00EA5F2A">
        <w:t xml:space="preserve">there is </w:t>
      </w:r>
      <w:r w:rsidR="00E70016">
        <w:t xml:space="preserve">already </w:t>
      </w:r>
      <w:r w:rsidR="00EA5F2A">
        <w:t>significant</w:t>
      </w:r>
      <w:r w:rsidR="0060529D">
        <w:t xml:space="preserve"> </w:t>
      </w:r>
      <w:r w:rsidR="00EA5F2A">
        <w:t xml:space="preserve">local spend </w:t>
      </w:r>
      <w:r w:rsidR="006F613D">
        <w:t>on such services.</w:t>
      </w:r>
      <w:r w:rsidR="002B507C">
        <w:t xml:space="preserve"> </w:t>
      </w:r>
      <w:r w:rsidR="006F613D">
        <w:t>In combination with additional support described below, we believe that this existing capacity and expertise will enable implementation of this specification at a faster pace than other services.</w:t>
      </w:r>
    </w:p>
    <w:p w14:paraId="6011C1E8" w14:textId="77777777" w:rsidR="006F613D" w:rsidRDefault="006F613D" w:rsidP="00561BFE">
      <w:pPr>
        <w:pStyle w:val="ListParagraph"/>
        <w:spacing w:line="276" w:lineRule="auto"/>
        <w:ind w:left="567"/>
      </w:pPr>
    </w:p>
    <w:p w14:paraId="2448CED4" w14:textId="78E8F656" w:rsidR="002B507C" w:rsidRDefault="002B507C" w:rsidP="00561BFE">
      <w:pPr>
        <w:pStyle w:val="ListParagraph"/>
        <w:numPr>
          <w:ilvl w:val="1"/>
          <w:numId w:val="24"/>
        </w:numPr>
        <w:spacing w:line="276" w:lineRule="auto"/>
      </w:pPr>
      <w:bookmarkStart w:id="10" w:name="_Hlk26282622"/>
      <w:r>
        <w:t xml:space="preserve">We have drawn on evidence from these service models as well as </w:t>
      </w:r>
      <w:r w:rsidR="00E316FC">
        <w:t xml:space="preserve">evaluations of the </w:t>
      </w:r>
      <w:r>
        <w:t>New Care Models to design the service requirements below</w:t>
      </w:r>
      <w:r w:rsidR="006F613D">
        <w:t xml:space="preserve">, and to </w:t>
      </w:r>
      <w:r w:rsidR="0012028A">
        <w:t xml:space="preserve">inform forthcoming </w:t>
      </w:r>
      <w:r>
        <w:t>guidance for implementation</w:t>
      </w:r>
      <w:r w:rsidR="006F613D">
        <w:t xml:space="preserve">, </w:t>
      </w:r>
      <w:r w:rsidR="0012028A">
        <w:t xml:space="preserve">which will </w:t>
      </w:r>
      <w:r w:rsidR="006F613D">
        <w:t>includ</w:t>
      </w:r>
      <w:r w:rsidR="0012028A">
        <w:t xml:space="preserve">e advice on </w:t>
      </w:r>
      <w:r w:rsidR="006F613D">
        <w:t>collaborative service redesign with other providers such as community services.</w:t>
      </w:r>
    </w:p>
    <w:bookmarkEnd w:id="10"/>
    <w:p w14:paraId="183363EC" w14:textId="77777777" w:rsidR="006F613D" w:rsidRDefault="006F613D" w:rsidP="00561BFE">
      <w:pPr>
        <w:pStyle w:val="ListParagraph"/>
        <w:spacing w:line="276" w:lineRule="auto"/>
      </w:pPr>
    </w:p>
    <w:p w14:paraId="068D2476" w14:textId="77777777" w:rsidR="006F613D" w:rsidRDefault="006F613D" w:rsidP="00561BFE">
      <w:pPr>
        <w:pStyle w:val="ListParagraph"/>
        <w:numPr>
          <w:ilvl w:val="1"/>
          <w:numId w:val="24"/>
        </w:numPr>
        <w:spacing w:line="276" w:lineRule="auto"/>
      </w:pPr>
      <w:r>
        <w:t xml:space="preserve">Delivery of this specification must happen in partnership between general practice and community services. The </w:t>
      </w:r>
      <w:r w:rsidR="00D10EA7">
        <w:t xml:space="preserve">proposed Standard Contract requirements will ensure a contractual basis for the requirements attributable to community service providers, and </w:t>
      </w:r>
      <w:r>
        <w:t>CCGs will oversee local agreements between providers within a PCN to ensure that</w:t>
      </w:r>
      <w:r w:rsidR="00D10EA7">
        <w:t xml:space="preserve"> primary and community care are supported in delivery by relevant partners being held to account.  </w:t>
      </w:r>
    </w:p>
    <w:p w14:paraId="6FBC8088" w14:textId="77777777" w:rsidR="000403A8" w:rsidRDefault="000403A8" w:rsidP="00561BFE">
      <w:pPr>
        <w:pStyle w:val="ListParagraph"/>
        <w:spacing w:line="276" w:lineRule="auto"/>
      </w:pPr>
    </w:p>
    <w:p w14:paraId="2D9BCE0E" w14:textId="7BDD6F09" w:rsidR="000403A8" w:rsidRDefault="000403A8" w:rsidP="00561BFE">
      <w:pPr>
        <w:pStyle w:val="ListParagraph"/>
        <w:numPr>
          <w:ilvl w:val="1"/>
          <w:numId w:val="24"/>
        </w:numPr>
        <w:spacing w:line="276" w:lineRule="auto"/>
      </w:pPr>
      <w:r>
        <w:t xml:space="preserve">We anticipate CCGs will also support delivery of this </w:t>
      </w:r>
      <w:r w:rsidR="00507478">
        <w:t>service by holding a list of care homes in the area</w:t>
      </w:r>
      <w:r w:rsidR="00D5185A">
        <w:t xml:space="preserve"> </w:t>
      </w:r>
      <w:r w:rsidR="00507478">
        <w:t>and agreeing the responsibilities of PCNs in relation to each home</w:t>
      </w:r>
      <w:r w:rsidR="00910E29">
        <w:t>, including making sure that</w:t>
      </w:r>
      <w:r w:rsidR="00C525C9">
        <w:t xml:space="preserve"> </w:t>
      </w:r>
      <w:r w:rsidR="00910E29">
        <w:t xml:space="preserve">each care home is aligned to a single PCN. </w:t>
      </w:r>
      <w:r w:rsidR="00C65955">
        <w:t xml:space="preserve">An approach to the reinvestment in primary care of existing expenditure by CCGs in this area of work and the potential for uneven distribution of care homes between PCNs will be discussed as part of contract negotiations. </w:t>
      </w:r>
      <w:r w:rsidR="00507478">
        <w:t>CCGs can also support improved joint working between PCNs and social care their established relationships with social care commissioners in local authorities.</w:t>
      </w:r>
    </w:p>
    <w:p w14:paraId="4D3CB13F" w14:textId="77777777" w:rsidR="001911D3" w:rsidRDefault="001911D3" w:rsidP="00561BFE">
      <w:pPr>
        <w:spacing w:after="0" w:line="276" w:lineRule="auto"/>
      </w:pPr>
    </w:p>
    <w:p w14:paraId="2C68A6A3" w14:textId="77777777" w:rsidR="002B507C" w:rsidRDefault="00D10EA7" w:rsidP="00561BFE">
      <w:pPr>
        <w:pStyle w:val="ListParagraph"/>
        <w:numPr>
          <w:ilvl w:val="1"/>
          <w:numId w:val="24"/>
        </w:numPr>
        <w:spacing w:line="276" w:lineRule="auto"/>
      </w:pPr>
      <w:r>
        <w:t>We acknowledge that the geographical distribution of care homes means that PCNs will be affected differently by the service requirements in this specification. We are considering this issue further, alongside the potential economies of scale provided by the opportunity to provide enhanced support to care homes at a network level rather than through individual practices.</w:t>
      </w:r>
    </w:p>
    <w:p w14:paraId="45CD9282" w14:textId="77777777" w:rsidR="00D10EA7" w:rsidRDefault="00D10EA7" w:rsidP="00561BFE">
      <w:pPr>
        <w:pStyle w:val="ListParagraph"/>
        <w:spacing w:line="276" w:lineRule="auto"/>
        <w:ind w:left="567"/>
      </w:pPr>
    </w:p>
    <w:p w14:paraId="7A7A5027" w14:textId="77777777" w:rsidR="004B2E1F" w:rsidRDefault="002D6C93" w:rsidP="00561BFE">
      <w:pPr>
        <w:spacing w:after="0" w:line="276" w:lineRule="auto"/>
        <w:rPr>
          <w:b/>
        </w:rPr>
      </w:pPr>
      <w:r>
        <w:rPr>
          <w:b/>
        </w:rPr>
        <w:t xml:space="preserve">Proposed </w:t>
      </w:r>
      <w:r w:rsidR="004B2E1F" w:rsidRPr="004B2E1F">
        <w:rPr>
          <w:b/>
        </w:rPr>
        <w:t>Service Model</w:t>
      </w:r>
    </w:p>
    <w:p w14:paraId="4161DA95" w14:textId="77777777" w:rsidR="001911D3" w:rsidRDefault="001911D3" w:rsidP="00561BFE">
      <w:pPr>
        <w:spacing w:after="0" w:line="276" w:lineRule="auto"/>
        <w:rPr>
          <w:b/>
        </w:rPr>
      </w:pPr>
    </w:p>
    <w:p w14:paraId="620B6E0D" w14:textId="3FA4D5AC" w:rsidR="0003539C" w:rsidRPr="004B2E1F" w:rsidRDefault="004B2E1F" w:rsidP="00561BFE">
      <w:pPr>
        <w:pStyle w:val="ListParagraph"/>
        <w:numPr>
          <w:ilvl w:val="1"/>
          <w:numId w:val="24"/>
        </w:numPr>
        <w:spacing w:line="276" w:lineRule="auto"/>
      </w:pPr>
      <w:r>
        <w:t xml:space="preserve">The EHCH service will focus </w:t>
      </w:r>
      <w:r w:rsidRPr="00DD6EB2">
        <w:t xml:space="preserve">on </w:t>
      </w:r>
      <w:r w:rsidRPr="004B2E1F">
        <w:t xml:space="preserve">national roll out </w:t>
      </w:r>
      <w:r w:rsidRPr="00DD6EB2">
        <w:t>of the first four clinical elements of the EHCH framework</w:t>
      </w:r>
      <w:r>
        <w:t xml:space="preserve">: </w:t>
      </w:r>
      <w:r w:rsidRPr="004B2E1F">
        <w:t xml:space="preserve">enhanced primary care support; multidisciplinary team support; reablement and rehabilitation; and high-quality end-of-life care and dementia care. </w:t>
      </w:r>
      <w:r w:rsidR="009468AF">
        <w:t>The service requirements are shared across both PCNs and other providers (particularly community services) who will work together to deliver the model</w:t>
      </w:r>
      <w:r w:rsidRPr="00DD6EB2">
        <w:t xml:space="preserve">.  </w:t>
      </w:r>
    </w:p>
    <w:p w14:paraId="6B89E673" w14:textId="77777777" w:rsidR="0003539C" w:rsidRDefault="0003539C" w:rsidP="00561BFE">
      <w:pPr>
        <w:pStyle w:val="ListParagraph"/>
        <w:spacing w:line="276" w:lineRule="auto"/>
        <w:ind w:left="567"/>
      </w:pPr>
    </w:p>
    <w:p w14:paraId="245AC20A" w14:textId="77777777" w:rsidR="004B2E1F" w:rsidRDefault="004B2E1F" w:rsidP="00561BFE">
      <w:pPr>
        <w:pStyle w:val="ListParagraph"/>
        <w:numPr>
          <w:ilvl w:val="1"/>
          <w:numId w:val="24"/>
        </w:numPr>
        <w:spacing w:line="276" w:lineRule="auto"/>
      </w:pPr>
      <w:r w:rsidRPr="004B2E1F">
        <w:t>In implementing this model nationally, we expect to:</w:t>
      </w:r>
    </w:p>
    <w:p w14:paraId="48D2C1A4" w14:textId="77777777" w:rsidR="0003539C" w:rsidRPr="004B2E1F" w:rsidRDefault="0003539C" w:rsidP="00561BFE">
      <w:pPr>
        <w:pStyle w:val="ListParagraph"/>
        <w:spacing w:line="276" w:lineRule="auto"/>
        <w:ind w:left="567"/>
      </w:pPr>
    </w:p>
    <w:p w14:paraId="585B7968" w14:textId="05E75719" w:rsidR="004B2E1F" w:rsidRDefault="004B2E1F" w:rsidP="00561BFE">
      <w:pPr>
        <w:pStyle w:val="ListParagraph"/>
        <w:numPr>
          <w:ilvl w:val="0"/>
          <w:numId w:val="2"/>
        </w:numPr>
        <w:spacing w:line="276" w:lineRule="auto"/>
        <w:ind w:left="1080"/>
        <w:contextualSpacing w:val="0"/>
      </w:pPr>
      <w:r w:rsidRPr="00EC6497">
        <w:t xml:space="preserve">Improve </w:t>
      </w:r>
      <w:r>
        <w:t>the experience, quality and safety of care for people living in care homes, their families and their carers</w:t>
      </w:r>
      <w:r w:rsidR="000B4BA6">
        <w:t>;</w:t>
      </w:r>
    </w:p>
    <w:p w14:paraId="484D79E6" w14:textId="77777777" w:rsidR="004B2E1F" w:rsidRPr="00EC6497" w:rsidRDefault="004B2E1F" w:rsidP="00561BFE">
      <w:pPr>
        <w:pStyle w:val="ListParagraph"/>
        <w:spacing w:line="276" w:lineRule="auto"/>
        <w:ind w:left="1080"/>
        <w:contextualSpacing w:val="0"/>
      </w:pPr>
    </w:p>
    <w:p w14:paraId="5F4A54B4" w14:textId="3673294E" w:rsidR="004B2E1F" w:rsidRDefault="004B2E1F" w:rsidP="00561BFE">
      <w:pPr>
        <w:pStyle w:val="ListParagraph"/>
        <w:numPr>
          <w:ilvl w:val="0"/>
          <w:numId w:val="2"/>
        </w:numPr>
        <w:spacing w:line="276" w:lineRule="auto"/>
        <w:ind w:left="1080"/>
        <w:contextualSpacing w:val="0"/>
      </w:pPr>
      <w:r w:rsidRPr="00C21966">
        <w:t xml:space="preserve">Reduce </w:t>
      </w:r>
      <w:r>
        <w:t xml:space="preserve">avoidable ambulance journeys, </w:t>
      </w:r>
      <w:r w:rsidRPr="00C21966">
        <w:t>A&amp;E attendances and emergency admissions to hospital</w:t>
      </w:r>
      <w:r>
        <w:t xml:space="preserve"> for </w:t>
      </w:r>
      <w:r w:rsidR="000B4BA6">
        <w:t xml:space="preserve">people living </w:t>
      </w:r>
      <w:r>
        <w:t>care home residents</w:t>
      </w:r>
      <w:r w:rsidR="000B4BA6">
        <w:t>;</w:t>
      </w:r>
    </w:p>
    <w:p w14:paraId="41A069AA" w14:textId="77777777" w:rsidR="004B2E1F" w:rsidRDefault="004B2E1F" w:rsidP="00561BFE">
      <w:pPr>
        <w:pStyle w:val="ListParagraph"/>
        <w:spacing w:line="276" w:lineRule="auto"/>
      </w:pPr>
    </w:p>
    <w:p w14:paraId="4202644B" w14:textId="19B8E219" w:rsidR="004B2E1F" w:rsidRDefault="004B2E1F" w:rsidP="00561BFE">
      <w:pPr>
        <w:pStyle w:val="ListParagraph"/>
        <w:numPr>
          <w:ilvl w:val="0"/>
          <w:numId w:val="2"/>
        </w:numPr>
        <w:spacing w:line="276" w:lineRule="auto"/>
        <w:ind w:left="1080"/>
        <w:contextualSpacing w:val="0"/>
      </w:pPr>
      <w:r>
        <w:t>Improve sub-optimal medication regimes in care homes</w:t>
      </w:r>
      <w:r w:rsidR="000B4BA6">
        <w:t>; and</w:t>
      </w:r>
    </w:p>
    <w:p w14:paraId="70CE5A4C" w14:textId="77777777" w:rsidR="004B2E1F" w:rsidRPr="00C21966" w:rsidRDefault="004B2E1F" w:rsidP="00561BFE">
      <w:pPr>
        <w:pStyle w:val="ListParagraph"/>
        <w:spacing w:line="276" w:lineRule="auto"/>
        <w:ind w:left="1080"/>
        <w:contextualSpacing w:val="0"/>
      </w:pPr>
    </w:p>
    <w:p w14:paraId="376B19A2" w14:textId="77777777" w:rsidR="004B2E1F" w:rsidRDefault="004B2E1F" w:rsidP="00561BFE">
      <w:pPr>
        <w:pStyle w:val="ListParagraph"/>
        <w:numPr>
          <w:ilvl w:val="0"/>
          <w:numId w:val="2"/>
        </w:numPr>
        <w:spacing w:line="276" w:lineRule="auto"/>
        <w:ind w:left="1080"/>
        <w:contextualSpacing w:val="0"/>
      </w:pPr>
      <w:r w:rsidRPr="00C21966">
        <w:t>Support more people</w:t>
      </w:r>
      <w:r>
        <w:t xml:space="preserve"> living in care homes</w:t>
      </w:r>
      <w:r w:rsidRPr="00C21966">
        <w:t xml:space="preserve"> to die in </w:t>
      </w:r>
      <w:r>
        <w:t>a place of their choosing.</w:t>
      </w:r>
    </w:p>
    <w:p w14:paraId="22C337CA" w14:textId="77777777" w:rsidR="004B2E1F" w:rsidRDefault="004B2E1F" w:rsidP="00561BFE">
      <w:pPr>
        <w:pStyle w:val="ListParagraph"/>
        <w:spacing w:line="276" w:lineRule="auto"/>
        <w:ind w:left="1224"/>
        <w:rPr>
          <w:szCs w:val="22"/>
        </w:rPr>
      </w:pPr>
    </w:p>
    <w:p w14:paraId="3640155A" w14:textId="057005A1" w:rsidR="004B2E1F" w:rsidRPr="0003539C" w:rsidRDefault="004B2E1F" w:rsidP="00561BFE">
      <w:pPr>
        <w:pStyle w:val="ListParagraph"/>
        <w:numPr>
          <w:ilvl w:val="1"/>
          <w:numId w:val="24"/>
        </w:numPr>
        <w:spacing w:line="276" w:lineRule="auto"/>
      </w:pPr>
      <w:r>
        <w:t>Given the s</w:t>
      </w:r>
      <w:r w:rsidRPr="00011C92">
        <w:t>ignificant progress already made across the country in implementing these model</w:t>
      </w:r>
      <w:r>
        <w:t xml:space="preserve"> elements</w:t>
      </w:r>
      <w:r w:rsidRPr="00011C92">
        <w:t>, we expect this s</w:t>
      </w:r>
      <w:r>
        <w:t>ervice</w:t>
      </w:r>
      <w:r w:rsidRPr="00011C92">
        <w:t xml:space="preserve"> to be delivered, in full, </w:t>
      </w:r>
      <w:r w:rsidR="001911D3">
        <w:t>during</w:t>
      </w:r>
      <w:r>
        <w:t xml:space="preserve"> </w:t>
      </w:r>
      <w:r w:rsidRPr="00011C92">
        <w:t>2020/21.</w:t>
      </w:r>
      <w:r w:rsidRPr="0003539C">
        <w:rPr>
          <w:b/>
        </w:rPr>
        <w:t xml:space="preserve"> </w:t>
      </w:r>
      <w:r w:rsidR="000C6C5B">
        <w:t>In future years we will consider whether and how to bring out of hours provision under the authority of PCNs, to ensure more effective and coordinated out of hours support for care homes.</w:t>
      </w:r>
    </w:p>
    <w:p w14:paraId="537FF6C9" w14:textId="77777777" w:rsidR="0003539C" w:rsidRPr="003E5898" w:rsidRDefault="0003539C" w:rsidP="00561BFE">
      <w:pPr>
        <w:pStyle w:val="ListParagraph"/>
        <w:spacing w:line="276" w:lineRule="auto"/>
        <w:ind w:left="567"/>
      </w:pPr>
    </w:p>
    <w:p w14:paraId="6F2B55BB" w14:textId="77777777" w:rsidR="003E5898" w:rsidRDefault="003E5898" w:rsidP="00561BFE">
      <w:pPr>
        <w:spacing w:after="0" w:line="276" w:lineRule="auto"/>
        <w:rPr>
          <w:b/>
        </w:rPr>
      </w:pPr>
      <w:r w:rsidRPr="003E5898">
        <w:rPr>
          <w:b/>
        </w:rPr>
        <w:t>In scope population</w:t>
      </w:r>
    </w:p>
    <w:p w14:paraId="6C84E988" w14:textId="77777777" w:rsidR="0003539C" w:rsidRPr="003E5898" w:rsidRDefault="0003539C" w:rsidP="00561BFE">
      <w:pPr>
        <w:spacing w:after="0" w:line="276" w:lineRule="auto"/>
        <w:rPr>
          <w:b/>
        </w:rPr>
      </w:pPr>
    </w:p>
    <w:p w14:paraId="41FFF753" w14:textId="7764F579"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 xml:space="preserve">All people who live </w:t>
      </w:r>
      <w:r w:rsidR="002F049D">
        <w:rPr>
          <w:rFonts w:cs="Arial"/>
          <w:szCs w:val="24"/>
        </w:rPr>
        <w:t xml:space="preserve">permanently </w:t>
      </w:r>
      <w:r w:rsidRPr="0003539C">
        <w:rPr>
          <w:rFonts w:cs="Arial"/>
          <w:szCs w:val="24"/>
        </w:rPr>
        <w:t>in care homes (both residential and nursing) are eligible for the service. This includes people living in residential and nursing homes that deliver specialist support (such as specialist learning disability and dementia units) but does not include people living in secure units for mental health.</w:t>
      </w:r>
    </w:p>
    <w:p w14:paraId="13BFFACE" w14:textId="77777777" w:rsidR="004B2E1F" w:rsidRDefault="004B2E1F" w:rsidP="00561BFE">
      <w:pPr>
        <w:pStyle w:val="ListParagraph"/>
        <w:spacing w:line="276" w:lineRule="auto"/>
        <w:ind w:left="993"/>
        <w:rPr>
          <w:rFonts w:cs="Arial"/>
          <w:szCs w:val="24"/>
        </w:rPr>
      </w:pPr>
    </w:p>
    <w:p w14:paraId="47056789" w14:textId="77777777"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 xml:space="preserve">Supported living environments and extra care facilities are not currently in scope for this service but may be covered by other services to be delivered through </w:t>
      </w:r>
      <w:r w:rsidR="00866B53">
        <w:rPr>
          <w:rFonts w:cs="Arial"/>
          <w:szCs w:val="24"/>
        </w:rPr>
        <w:t xml:space="preserve">the </w:t>
      </w:r>
      <w:r w:rsidRPr="0003539C">
        <w:rPr>
          <w:rFonts w:cs="Arial"/>
          <w:szCs w:val="24"/>
        </w:rPr>
        <w:t>network contract DES, including anticipatory care, medications reviews and personalised care.</w:t>
      </w:r>
    </w:p>
    <w:p w14:paraId="3561BD2D" w14:textId="77777777" w:rsidR="004B2E1F" w:rsidRPr="00E30B15" w:rsidRDefault="004B2E1F" w:rsidP="00561BFE">
      <w:pPr>
        <w:pStyle w:val="ListParagraph"/>
        <w:spacing w:line="276" w:lineRule="auto"/>
        <w:ind w:left="993"/>
        <w:rPr>
          <w:rFonts w:cs="Arial"/>
          <w:szCs w:val="24"/>
        </w:rPr>
      </w:pPr>
    </w:p>
    <w:p w14:paraId="01A328FD" w14:textId="77777777"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For the purposes of this document, the term ‘care home’ encompasses all types noted above.</w:t>
      </w:r>
    </w:p>
    <w:p w14:paraId="6B6829E1" w14:textId="77777777" w:rsidR="00C1247B" w:rsidRDefault="00C1247B" w:rsidP="00561BFE">
      <w:pPr>
        <w:spacing w:after="0" w:line="276" w:lineRule="auto"/>
        <w:rPr>
          <w:b/>
        </w:rPr>
      </w:pPr>
    </w:p>
    <w:p w14:paraId="161B90E2" w14:textId="79F598DC" w:rsidR="004B2E1F" w:rsidRDefault="002D6C93" w:rsidP="00561BFE">
      <w:pPr>
        <w:spacing w:after="0" w:line="276" w:lineRule="auto"/>
        <w:rPr>
          <w:b/>
        </w:rPr>
      </w:pPr>
      <w:r>
        <w:rPr>
          <w:b/>
        </w:rPr>
        <w:t>Proposed s</w:t>
      </w:r>
      <w:r w:rsidR="004B2E1F" w:rsidRPr="004B2E1F">
        <w:rPr>
          <w:b/>
        </w:rPr>
        <w:t xml:space="preserve">ervice </w:t>
      </w:r>
      <w:r w:rsidR="003E5898">
        <w:rPr>
          <w:b/>
        </w:rPr>
        <w:t>r</w:t>
      </w:r>
      <w:r w:rsidR="004B2E1F" w:rsidRPr="004B2E1F">
        <w:rPr>
          <w:b/>
        </w:rPr>
        <w:t>equirements:</w:t>
      </w:r>
    </w:p>
    <w:p w14:paraId="3A91DB95" w14:textId="77777777" w:rsidR="001911D3" w:rsidRPr="004B2E1F" w:rsidRDefault="001911D3" w:rsidP="00561BFE">
      <w:pPr>
        <w:spacing w:after="0" w:line="276" w:lineRule="auto"/>
        <w:rPr>
          <w:b/>
        </w:rPr>
      </w:pPr>
    </w:p>
    <w:p w14:paraId="08A1C6CA" w14:textId="77777777" w:rsidR="006062EA" w:rsidRDefault="00FD3C87" w:rsidP="00561BFE">
      <w:pPr>
        <w:pStyle w:val="ListParagraph"/>
        <w:numPr>
          <w:ilvl w:val="1"/>
          <w:numId w:val="24"/>
        </w:numPr>
        <w:spacing w:line="276" w:lineRule="auto"/>
      </w:pPr>
      <w:r>
        <w:t xml:space="preserve">During </w:t>
      </w:r>
      <w:r w:rsidR="006062EA">
        <w:t>2020</w:t>
      </w:r>
      <w:r>
        <w:t>/21</w:t>
      </w:r>
      <w:r w:rsidR="006062EA">
        <w:t>, practices working as part of PCNs and working with providers of community services, will:</w:t>
      </w:r>
    </w:p>
    <w:p w14:paraId="4153D6D3" w14:textId="77777777" w:rsidR="0003539C" w:rsidRDefault="0003539C" w:rsidP="00561BFE">
      <w:pPr>
        <w:pStyle w:val="ListParagraph"/>
        <w:spacing w:line="276" w:lineRule="auto"/>
        <w:ind w:left="567"/>
      </w:pPr>
    </w:p>
    <w:tbl>
      <w:tblPr>
        <w:tblStyle w:val="TableGrid"/>
        <w:tblW w:w="8931" w:type="dxa"/>
        <w:tblInd w:w="-5" w:type="dxa"/>
        <w:tblLook w:val="04A0" w:firstRow="1" w:lastRow="0" w:firstColumn="1" w:lastColumn="0" w:noHBand="0" w:noVBand="1"/>
      </w:tblPr>
      <w:tblGrid>
        <w:gridCol w:w="483"/>
        <w:gridCol w:w="4225"/>
        <w:gridCol w:w="4223"/>
      </w:tblGrid>
      <w:tr w:rsidR="008C7BE5" w14:paraId="7EB59280" w14:textId="77777777" w:rsidTr="00605DC5">
        <w:tc>
          <w:tcPr>
            <w:tcW w:w="483" w:type="dxa"/>
          </w:tcPr>
          <w:p w14:paraId="7D7ECF9B" w14:textId="77777777" w:rsidR="008C7BE5" w:rsidRPr="004674CF" w:rsidRDefault="008C7BE5" w:rsidP="00561BFE">
            <w:pPr>
              <w:pStyle w:val="ListParagraph"/>
              <w:spacing w:line="276" w:lineRule="auto"/>
              <w:ind w:left="0"/>
              <w:rPr>
                <w:b/>
              </w:rPr>
            </w:pPr>
          </w:p>
        </w:tc>
        <w:tc>
          <w:tcPr>
            <w:tcW w:w="4225" w:type="dxa"/>
          </w:tcPr>
          <w:p w14:paraId="48653345" w14:textId="62F57462" w:rsidR="008C7BE5" w:rsidRPr="004674CF" w:rsidRDefault="008C7BE5" w:rsidP="00561BFE">
            <w:pPr>
              <w:pStyle w:val="ListParagraph"/>
              <w:spacing w:line="276" w:lineRule="auto"/>
              <w:ind w:left="0"/>
              <w:rPr>
                <w:b/>
              </w:rPr>
            </w:pPr>
            <w:r w:rsidRPr="004674CF">
              <w:rPr>
                <w:b/>
              </w:rPr>
              <w:t>Practices, working as part of PCNs</w:t>
            </w:r>
          </w:p>
        </w:tc>
        <w:tc>
          <w:tcPr>
            <w:tcW w:w="4223" w:type="dxa"/>
          </w:tcPr>
          <w:p w14:paraId="6D6CB701" w14:textId="77777777" w:rsidR="008C7BE5" w:rsidRPr="00A30FED" w:rsidRDefault="008C7BE5" w:rsidP="00561BFE">
            <w:pPr>
              <w:pStyle w:val="ListParagraph"/>
              <w:spacing w:line="276" w:lineRule="auto"/>
              <w:ind w:left="0"/>
              <w:rPr>
                <w:color w:val="000000" w:themeColor="text1"/>
              </w:rPr>
            </w:pPr>
            <w:r w:rsidRPr="00A30FED">
              <w:rPr>
                <w:rFonts w:cs="Arial"/>
                <w:b/>
                <w:color w:val="000000" w:themeColor="text1"/>
              </w:rPr>
              <w:t>Other providers of community services, including mental health</w:t>
            </w:r>
          </w:p>
        </w:tc>
      </w:tr>
      <w:tr w:rsidR="00102EB8" w14:paraId="775D6ACB" w14:textId="77777777" w:rsidTr="00605DC5">
        <w:tc>
          <w:tcPr>
            <w:tcW w:w="483" w:type="dxa"/>
          </w:tcPr>
          <w:p w14:paraId="07A28C38" w14:textId="55D6E34C" w:rsidR="00102EB8" w:rsidRDefault="00102EB8" w:rsidP="00561BFE">
            <w:pPr>
              <w:spacing w:line="276" w:lineRule="auto"/>
            </w:pPr>
            <w:r>
              <w:t>1</w:t>
            </w:r>
          </w:p>
        </w:tc>
        <w:tc>
          <w:tcPr>
            <w:tcW w:w="4225" w:type="dxa"/>
          </w:tcPr>
          <w:p w14:paraId="01E9FEC3" w14:textId="44D4E7C3" w:rsidR="00102EB8" w:rsidRDefault="00102EB8" w:rsidP="00561BFE">
            <w:pPr>
              <w:spacing w:line="276" w:lineRule="auto"/>
            </w:pPr>
            <w:r>
              <w:t>By 30 June 2020, identify a clinical lead who will be responsible across the PCN for the delivery of the service requirements</w:t>
            </w:r>
            <w:r w:rsidR="007077C8">
              <w:t xml:space="preserve"> in this section</w:t>
            </w:r>
            <w:r>
              <w:t>.</w:t>
            </w:r>
          </w:p>
        </w:tc>
        <w:tc>
          <w:tcPr>
            <w:tcW w:w="4223" w:type="dxa"/>
          </w:tcPr>
          <w:p w14:paraId="08DF3E15" w14:textId="77777777" w:rsidR="00102EB8" w:rsidRPr="00DD6EB2" w:rsidRDefault="00102EB8" w:rsidP="00561BFE">
            <w:pPr>
              <w:pStyle w:val="ListParagraph"/>
              <w:spacing w:line="276" w:lineRule="auto"/>
              <w:ind w:left="0"/>
              <w:rPr>
                <w:rFonts w:cs="Arial"/>
              </w:rPr>
            </w:pPr>
          </w:p>
        </w:tc>
      </w:tr>
      <w:tr w:rsidR="008C7BE5" w14:paraId="721A6653" w14:textId="77777777" w:rsidTr="00605DC5">
        <w:tc>
          <w:tcPr>
            <w:tcW w:w="483" w:type="dxa"/>
          </w:tcPr>
          <w:p w14:paraId="6E12C5E3" w14:textId="62B9B73B" w:rsidR="008C7BE5" w:rsidRDefault="00102EB8" w:rsidP="00561BFE">
            <w:pPr>
              <w:spacing w:line="276" w:lineRule="auto"/>
            </w:pPr>
            <w:r>
              <w:t>2</w:t>
            </w:r>
          </w:p>
        </w:tc>
        <w:tc>
          <w:tcPr>
            <w:tcW w:w="4225" w:type="dxa"/>
          </w:tcPr>
          <w:p w14:paraId="16C2437F" w14:textId="78F9B89B" w:rsidR="008C7BE5" w:rsidRDefault="008C7BE5" w:rsidP="00561BFE">
            <w:pPr>
              <w:spacing w:line="276" w:lineRule="auto"/>
            </w:pPr>
            <w:r>
              <w:t xml:space="preserve">From no later than 30 June 2020, ensure every person living permanently in a care home has a named clinical team, including staff from the PCN and relevant providers </w:t>
            </w:r>
            <w:r>
              <w:lastRenderedPageBreak/>
              <w:t>of community services, who are accountable for the care delivered through the EHCH model.</w:t>
            </w:r>
          </w:p>
        </w:tc>
        <w:tc>
          <w:tcPr>
            <w:tcW w:w="4223" w:type="dxa"/>
          </w:tcPr>
          <w:p w14:paraId="35A41084" w14:textId="77777777" w:rsidR="008C7BE5" w:rsidRDefault="008C7BE5" w:rsidP="00561BFE">
            <w:pPr>
              <w:pStyle w:val="ListParagraph"/>
              <w:spacing w:line="276" w:lineRule="auto"/>
              <w:ind w:left="0"/>
            </w:pPr>
            <w:r w:rsidRPr="00DD6EB2">
              <w:rPr>
                <w:rFonts w:cs="Arial"/>
              </w:rPr>
              <w:lastRenderedPageBreak/>
              <w:t>Work alongside PCNs and care homes to ensure delivery of the</w:t>
            </w:r>
            <w:r>
              <w:rPr>
                <w:rFonts w:cs="Arial"/>
              </w:rPr>
              <w:t xml:space="preserve"> multidisciplinary elements of the</w:t>
            </w:r>
            <w:r w:rsidRPr="00DD6EB2">
              <w:rPr>
                <w:rFonts w:cs="Arial"/>
              </w:rPr>
              <w:t xml:space="preserve"> service model described below</w:t>
            </w:r>
          </w:p>
        </w:tc>
      </w:tr>
      <w:tr w:rsidR="008C7BE5" w14:paraId="0F4FFD7E" w14:textId="77777777" w:rsidTr="00605DC5">
        <w:tc>
          <w:tcPr>
            <w:tcW w:w="483" w:type="dxa"/>
          </w:tcPr>
          <w:p w14:paraId="3634D325" w14:textId="09B73292" w:rsidR="008C7BE5" w:rsidRDefault="00102EB8" w:rsidP="00561BFE">
            <w:pPr>
              <w:spacing w:line="276" w:lineRule="auto"/>
            </w:pPr>
            <w:r>
              <w:t>3</w:t>
            </w:r>
          </w:p>
        </w:tc>
        <w:tc>
          <w:tcPr>
            <w:tcW w:w="4225" w:type="dxa"/>
          </w:tcPr>
          <w:p w14:paraId="07D1750F" w14:textId="05776F49" w:rsidR="008C7BE5" w:rsidRDefault="008C7BE5" w:rsidP="00561BFE">
            <w:pPr>
              <w:spacing w:line="276" w:lineRule="auto"/>
            </w:pPr>
            <w:r>
              <w:t>From no later than 30 June 2020, ensure every care home is aligned to a single PCN, and its multidisciplinary team (MDT), which is responsible for supporting that care home and delivering the EHCH service for people living in that home that are already registered with a practice in the PCN or choose to register with a practice in the PCN</w:t>
            </w:r>
            <w:r w:rsidR="002F0027">
              <w:t>.</w:t>
            </w:r>
            <w:r>
              <w:t xml:space="preserve"> </w:t>
            </w:r>
          </w:p>
          <w:p w14:paraId="37B6AFE9" w14:textId="77777777" w:rsidR="008C7BE5" w:rsidRDefault="008C7BE5" w:rsidP="00561BFE">
            <w:pPr>
              <w:spacing w:line="276" w:lineRule="auto"/>
            </w:pPr>
          </w:p>
          <w:p w14:paraId="2614D388" w14:textId="1F89D05B" w:rsidR="008C7BE5" w:rsidRDefault="008C7BE5" w:rsidP="00561BFE">
            <w:pPr>
              <w:spacing w:line="276" w:lineRule="auto"/>
            </w:pPr>
            <w:r>
              <w:t>By 30 June 2020 each PCN will agree the care homes for which it has responsibility with its CCG. People entering the care home should be supported to re-register with the aligned PCN and have the benefits of doing so clearly explained.</w:t>
            </w:r>
          </w:p>
          <w:p w14:paraId="16D7CA66" w14:textId="77777777" w:rsidR="008C7BE5" w:rsidRDefault="008C7BE5" w:rsidP="00561BFE">
            <w:pPr>
              <w:spacing w:line="276" w:lineRule="auto"/>
            </w:pPr>
          </w:p>
          <w:p w14:paraId="79D47E34" w14:textId="47AABCA6" w:rsidR="008C7BE5" w:rsidRDefault="008C7BE5" w:rsidP="00561BFE">
            <w:pPr>
              <w:spacing w:line="276" w:lineRule="auto"/>
            </w:pPr>
            <w:bookmarkStart w:id="11" w:name="_Hlk26186750"/>
            <w:r>
              <w:t xml:space="preserve">Where people choose not to register with a practice in the aligned PCN, requirements </w:t>
            </w:r>
            <w:r w:rsidR="00102EB8">
              <w:t>4</w:t>
            </w:r>
            <w:r w:rsidR="00605DC5">
              <w:t>-</w:t>
            </w:r>
            <w:r w:rsidR="00102EB8">
              <w:t>9</w:t>
            </w:r>
            <w:r w:rsidR="00605DC5">
              <w:t xml:space="preserve"> below </w:t>
            </w:r>
            <w:r>
              <w:t>should be delivered by their registered practice, either directly or through local sub-contracting arrangements.</w:t>
            </w:r>
            <w:bookmarkEnd w:id="11"/>
          </w:p>
        </w:tc>
        <w:tc>
          <w:tcPr>
            <w:tcW w:w="4223" w:type="dxa"/>
          </w:tcPr>
          <w:p w14:paraId="67FA7B10" w14:textId="77777777" w:rsidR="008C7BE5" w:rsidRDefault="008C7BE5" w:rsidP="00561BFE">
            <w:pPr>
              <w:pStyle w:val="ListParagraph"/>
              <w:spacing w:line="276" w:lineRule="auto"/>
              <w:ind w:left="0"/>
            </w:pPr>
          </w:p>
        </w:tc>
      </w:tr>
      <w:tr w:rsidR="008C7BE5" w14:paraId="593E08D3" w14:textId="77777777" w:rsidTr="00605DC5">
        <w:tc>
          <w:tcPr>
            <w:tcW w:w="483" w:type="dxa"/>
          </w:tcPr>
          <w:p w14:paraId="2897913C" w14:textId="42D0FD04" w:rsidR="008C7BE5" w:rsidRDefault="00102EB8" w:rsidP="00561BFE">
            <w:pPr>
              <w:spacing w:line="276" w:lineRule="auto"/>
            </w:pPr>
            <w:r>
              <w:t>4</w:t>
            </w:r>
          </w:p>
        </w:tc>
        <w:tc>
          <w:tcPr>
            <w:tcW w:w="4225" w:type="dxa"/>
          </w:tcPr>
          <w:p w14:paraId="0ABC74BD" w14:textId="4F340FED" w:rsidR="008C7BE5" w:rsidRDefault="008C7BE5" w:rsidP="00561BFE">
            <w:pPr>
              <w:spacing w:line="276" w:lineRule="auto"/>
            </w:pPr>
            <w:r>
              <w:t>From no later than 30 June 2020</w:t>
            </w:r>
            <w:r>
              <w:rPr>
                <w:rFonts w:cs="Arial"/>
              </w:rPr>
              <w:t>, e</w:t>
            </w:r>
            <w:r w:rsidRPr="00DD6EB2">
              <w:rPr>
                <w:rFonts w:cs="Arial"/>
              </w:rPr>
              <w:t>stablish and manage a multidisciplinary team (MDT) of professionals</w:t>
            </w:r>
            <w:r>
              <w:rPr>
                <w:rFonts w:cs="Arial"/>
              </w:rPr>
              <w:t xml:space="preserve">, </w:t>
            </w:r>
            <w:r w:rsidRPr="00DD6EB2">
              <w:rPr>
                <w:rFonts w:cs="Arial"/>
              </w:rPr>
              <w:t>work</w:t>
            </w:r>
            <w:r>
              <w:rPr>
                <w:rFonts w:cs="Arial"/>
              </w:rPr>
              <w:t>ing</w:t>
            </w:r>
            <w:r w:rsidRPr="00DD6EB2">
              <w:rPr>
                <w:rFonts w:cs="Arial"/>
              </w:rPr>
              <w:t xml:space="preserve"> across organisational boundaries to develop and monitor personalised care and support plans, and the support offers defined in them, for people living in care homes. </w:t>
            </w:r>
          </w:p>
        </w:tc>
        <w:tc>
          <w:tcPr>
            <w:tcW w:w="4223" w:type="dxa"/>
          </w:tcPr>
          <w:p w14:paraId="7AD71F58" w14:textId="1B53CE3E" w:rsidR="008C7BE5" w:rsidRPr="00DD6EB2" w:rsidRDefault="008C7BE5" w:rsidP="00561BFE">
            <w:pPr>
              <w:spacing w:line="276" w:lineRule="auto"/>
              <w:rPr>
                <w:rFonts w:cs="Arial"/>
              </w:rPr>
            </w:pPr>
            <w:r>
              <w:t>By no later than 30 June 2020</w:t>
            </w:r>
            <w:r>
              <w:rPr>
                <w:rFonts w:cs="Arial"/>
              </w:rPr>
              <w:t>, c</w:t>
            </w:r>
            <w:r w:rsidRPr="00DD6EB2">
              <w:rPr>
                <w:rFonts w:cs="Arial"/>
              </w:rPr>
              <w:t xml:space="preserve">o-design with the PCN, and </w:t>
            </w:r>
            <w:r>
              <w:rPr>
                <w:rFonts w:cs="Arial"/>
              </w:rPr>
              <w:t xml:space="preserve">thereafter </w:t>
            </w:r>
            <w:r w:rsidRPr="00DD6EB2">
              <w:rPr>
                <w:rFonts w:cs="Arial"/>
              </w:rPr>
              <w:t>participate in, a multidisciplinary team (MDT) of professionals, to work in close collaboration with care homes to develop and monitor personalised care and support plans.</w:t>
            </w:r>
          </w:p>
          <w:p w14:paraId="29DA6503" w14:textId="77777777" w:rsidR="008C7BE5" w:rsidRPr="00DD6EB2" w:rsidRDefault="008C7BE5" w:rsidP="00561BFE">
            <w:pPr>
              <w:spacing w:line="276" w:lineRule="auto"/>
              <w:rPr>
                <w:rFonts w:cs="Arial"/>
              </w:rPr>
            </w:pPr>
          </w:p>
          <w:p w14:paraId="3A61E940" w14:textId="77777777" w:rsidR="008C7BE5" w:rsidRDefault="008C7BE5" w:rsidP="00561BFE">
            <w:pPr>
              <w:pStyle w:val="ListParagraph"/>
              <w:spacing w:line="276" w:lineRule="auto"/>
              <w:ind w:left="0"/>
            </w:pPr>
            <w:r w:rsidRPr="00DD6EB2">
              <w:rPr>
                <w:rFonts w:cs="Arial"/>
              </w:rPr>
              <w:t>Attend MDT meetings</w:t>
            </w:r>
            <w:r>
              <w:rPr>
                <w:rFonts w:cs="Arial"/>
              </w:rPr>
              <w:t xml:space="preserve"> and manage delivery of the MDT if agreed locally.</w:t>
            </w:r>
          </w:p>
        </w:tc>
      </w:tr>
      <w:tr w:rsidR="008C7BE5" w14:paraId="5FFFE9BA" w14:textId="77777777" w:rsidTr="00605DC5">
        <w:tc>
          <w:tcPr>
            <w:tcW w:w="483" w:type="dxa"/>
          </w:tcPr>
          <w:p w14:paraId="213AB35A" w14:textId="66876728" w:rsidR="008C7BE5" w:rsidRDefault="00102EB8" w:rsidP="00561BFE">
            <w:pPr>
              <w:spacing w:line="276" w:lineRule="auto"/>
            </w:pPr>
            <w:r>
              <w:t>5</w:t>
            </w:r>
          </w:p>
        </w:tc>
        <w:tc>
          <w:tcPr>
            <w:tcW w:w="4225" w:type="dxa"/>
          </w:tcPr>
          <w:p w14:paraId="3BE578EB" w14:textId="791BDD83" w:rsidR="008C7BE5" w:rsidRDefault="008C7BE5" w:rsidP="00561BFE">
            <w:pPr>
              <w:spacing w:line="276" w:lineRule="auto"/>
            </w:pPr>
            <w:r>
              <w:t xml:space="preserve">From no later than 30 June 2020, establish protocols between the care home and wider system partners for information sharing and shared care planning, use of shared care records </w:t>
            </w:r>
            <w:r>
              <w:lastRenderedPageBreak/>
              <w:t>and clear clinical governance and accountability</w:t>
            </w:r>
            <w:r>
              <w:rPr>
                <w:noProof/>
              </w:rPr>
              <w:t xml:space="preserve"> </w:t>
            </w:r>
          </w:p>
          <w:p w14:paraId="6D5CA948" w14:textId="77777777" w:rsidR="008C7BE5" w:rsidRDefault="008C7BE5" w:rsidP="00561BFE">
            <w:pPr>
              <w:spacing w:line="276" w:lineRule="auto"/>
              <w:rPr>
                <w:rFonts w:cs="Arial"/>
              </w:rPr>
            </w:pPr>
          </w:p>
        </w:tc>
        <w:tc>
          <w:tcPr>
            <w:tcW w:w="4223" w:type="dxa"/>
          </w:tcPr>
          <w:p w14:paraId="5812B03D" w14:textId="59208910" w:rsidR="008C7BE5" w:rsidRDefault="008C7BE5" w:rsidP="00561BFE">
            <w:pPr>
              <w:spacing w:line="276" w:lineRule="auto"/>
              <w:rPr>
                <w:rFonts w:cs="Arial"/>
              </w:rPr>
            </w:pPr>
            <w:r>
              <w:lastRenderedPageBreak/>
              <w:t xml:space="preserve">From no later than 30 June 2020, support the establishment of protocols between the care home and wider system partners for information sharing and shared care planning, use of shared care records </w:t>
            </w:r>
            <w:r>
              <w:lastRenderedPageBreak/>
              <w:t>and clear clinical governance and accountability.</w:t>
            </w:r>
            <w:r>
              <w:rPr>
                <w:noProof/>
              </w:rPr>
              <w:t xml:space="preserve"> </w:t>
            </w:r>
          </w:p>
        </w:tc>
      </w:tr>
      <w:tr w:rsidR="008C7BE5" w14:paraId="122F4A52" w14:textId="77777777" w:rsidTr="00605DC5">
        <w:tc>
          <w:tcPr>
            <w:tcW w:w="483" w:type="dxa"/>
          </w:tcPr>
          <w:p w14:paraId="50AC87E3" w14:textId="738D482A" w:rsidR="008C7BE5" w:rsidRDefault="00102EB8" w:rsidP="00561BFE">
            <w:pPr>
              <w:spacing w:line="276" w:lineRule="auto"/>
            </w:pPr>
            <w:r>
              <w:lastRenderedPageBreak/>
              <w:t>6</w:t>
            </w:r>
          </w:p>
        </w:tc>
        <w:tc>
          <w:tcPr>
            <w:tcW w:w="4225" w:type="dxa"/>
          </w:tcPr>
          <w:p w14:paraId="39DCF785" w14:textId="0E165CE9" w:rsidR="008C7BE5" w:rsidRDefault="008C7BE5" w:rsidP="00561BFE">
            <w:pPr>
              <w:spacing w:line="276" w:lineRule="auto"/>
            </w:pPr>
            <w:bookmarkStart w:id="12" w:name="_Hlk26875319"/>
            <w:r>
              <w:t>From no later than 30 September 2020, deliver a weekly, in person, ‘home round’ for their registered patients in the care home(s). The home round must:</w:t>
            </w:r>
          </w:p>
          <w:p w14:paraId="2BEF1971" w14:textId="398B1441" w:rsidR="008C7BE5" w:rsidRDefault="008C7BE5" w:rsidP="00561BFE">
            <w:pPr>
              <w:spacing w:line="276" w:lineRule="auto"/>
            </w:pPr>
          </w:p>
          <w:p w14:paraId="159EF686" w14:textId="21413787" w:rsidR="008C7BE5" w:rsidRPr="006035C7" w:rsidRDefault="000C6C5B" w:rsidP="00561BFE">
            <w:pPr>
              <w:pStyle w:val="ListParagraph"/>
              <w:numPr>
                <w:ilvl w:val="0"/>
                <w:numId w:val="60"/>
              </w:numPr>
              <w:spacing w:line="276" w:lineRule="auto"/>
              <w:ind w:left="360"/>
            </w:pPr>
            <w:r>
              <w:rPr>
                <w:rFonts w:eastAsia="HGSMinchoE"/>
                <w:szCs w:val="24"/>
              </w:rPr>
              <w:t>b</w:t>
            </w:r>
            <w:r w:rsidR="008C7BE5" w:rsidRPr="006035C7">
              <w:rPr>
                <w:rFonts w:eastAsia="HGSMinchoE"/>
                <w:szCs w:val="24"/>
              </w:rPr>
              <w:t xml:space="preserve">e led by a suitable clinician. On at least a fortnightly basis this </w:t>
            </w:r>
            <w:r w:rsidR="008C7BE5">
              <w:rPr>
                <w:rFonts w:eastAsia="HGSMinchoE"/>
                <w:szCs w:val="24"/>
              </w:rPr>
              <w:t>must</w:t>
            </w:r>
            <w:r w:rsidR="008C7BE5" w:rsidRPr="006035C7">
              <w:rPr>
                <w:rFonts w:eastAsia="HGSMinchoE"/>
                <w:szCs w:val="24"/>
              </w:rPr>
              <w:t xml:space="preserve"> be a GP. With local agreement the GP can be substituted by a community geriatrician.</w:t>
            </w:r>
          </w:p>
          <w:p w14:paraId="7B842708" w14:textId="77777777" w:rsidR="008C7BE5" w:rsidRDefault="008C7BE5" w:rsidP="00561BFE">
            <w:pPr>
              <w:spacing w:line="276" w:lineRule="auto"/>
            </w:pPr>
          </w:p>
          <w:p w14:paraId="071A6ED2" w14:textId="244E8416" w:rsidR="008C7BE5" w:rsidRPr="006035C7" w:rsidRDefault="000C6C5B" w:rsidP="00561BFE">
            <w:pPr>
              <w:pStyle w:val="ListParagraph"/>
              <w:numPr>
                <w:ilvl w:val="0"/>
                <w:numId w:val="60"/>
              </w:numPr>
              <w:spacing w:line="276" w:lineRule="auto"/>
              <w:ind w:left="360"/>
            </w:pPr>
            <w:r>
              <w:rPr>
                <w:rFonts w:eastAsia="HGSMinchoE"/>
                <w:szCs w:val="24"/>
              </w:rPr>
              <w:t>i</w:t>
            </w:r>
            <w:r w:rsidR="008C7BE5" w:rsidRPr="006035C7">
              <w:rPr>
                <w:rFonts w:eastAsia="HGSMinchoE"/>
                <w:szCs w:val="24"/>
              </w:rPr>
              <w:t xml:space="preserve">nvolve a consistent group of staff from the MDT. </w:t>
            </w:r>
          </w:p>
          <w:p w14:paraId="2D14840B" w14:textId="7EB17A6B" w:rsidR="008C7BE5" w:rsidRDefault="008C7BE5" w:rsidP="00561BFE">
            <w:pPr>
              <w:spacing w:line="276" w:lineRule="auto"/>
            </w:pPr>
          </w:p>
          <w:p w14:paraId="411CD73A" w14:textId="463DE49E" w:rsidR="008C7BE5" w:rsidRDefault="000C6C5B" w:rsidP="00561BFE">
            <w:pPr>
              <w:pStyle w:val="ListParagraph"/>
              <w:numPr>
                <w:ilvl w:val="0"/>
                <w:numId w:val="60"/>
              </w:numPr>
              <w:spacing w:line="276" w:lineRule="auto"/>
              <w:ind w:left="360"/>
            </w:pPr>
            <w:r>
              <w:rPr>
                <w:rFonts w:eastAsia="HGSMinchoE" w:cs="Arial"/>
                <w:szCs w:val="24"/>
              </w:rPr>
              <w:t>f</w:t>
            </w:r>
            <w:r w:rsidR="008C7BE5" w:rsidRPr="008C7BE5">
              <w:rPr>
                <w:rFonts w:eastAsia="HGSMinchoE" w:cs="Arial"/>
                <w:szCs w:val="24"/>
              </w:rPr>
              <w:t>ocus on people identified for review by the care home, those with the most acute and escalating needs or those who may require palliative or end-of-life care.</w:t>
            </w:r>
            <w:bookmarkEnd w:id="12"/>
          </w:p>
        </w:tc>
        <w:tc>
          <w:tcPr>
            <w:tcW w:w="4223" w:type="dxa"/>
          </w:tcPr>
          <w:p w14:paraId="5AD0AAA4" w14:textId="579FBEED" w:rsidR="008C7BE5" w:rsidRPr="000C6C5B" w:rsidRDefault="008C7BE5" w:rsidP="000C6C5B">
            <w:pPr>
              <w:spacing w:line="276" w:lineRule="auto"/>
              <w:rPr>
                <w:rFonts w:cs="Arial"/>
              </w:rPr>
            </w:pPr>
            <w:r>
              <w:t>From no later than 30 September 2020</w:t>
            </w:r>
            <w:r>
              <w:rPr>
                <w:rFonts w:cs="Arial"/>
              </w:rPr>
              <w:t>, deliver, p</w:t>
            </w:r>
            <w:r w:rsidRPr="00DD6EB2">
              <w:rPr>
                <w:rFonts w:cs="Arial"/>
              </w:rPr>
              <w:t xml:space="preserve">articipate </w:t>
            </w:r>
            <w:r>
              <w:rPr>
                <w:rFonts w:cs="Arial"/>
              </w:rPr>
              <w:t>in or prepare for home rounds</w:t>
            </w:r>
            <w:r w:rsidRPr="00DD6EB2">
              <w:rPr>
                <w:rFonts w:cs="Arial"/>
              </w:rPr>
              <w:t xml:space="preserve"> as </w:t>
            </w:r>
            <w:r>
              <w:rPr>
                <w:rFonts w:cs="Arial"/>
              </w:rPr>
              <w:t xml:space="preserve">agreed with the PCN </w:t>
            </w:r>
            <w:r w:rsidRPr="00DD6EB2">
              <w:rPr>
                <w:rFonts w:cs="Arial"/>
              </w:rPr>
              <w:t>and</w:t>
            </w:r>
            <w:r w:rsidR="000C6C5B">
              <w:rPr>
                <w:rFonts w:cs="Arial"/>
              </w:rPr>
              <w:t xml:space="preserve"> </w:t>
            </w:r>
            <w:r w:rsidR="000C6C5B" w:rsidRPr="000C6C5B">
              <w:rPr>
                <w:rFonts w:cs="Arial"/>
              </w:rPr>
              <w:t>p</w:t>
            </w:r>
            <w:r w:rsidRPr="000C6C5B">
              <w:rPr>
                <w:rFonts w:cs="Arial"/>
              </w:rPr>
              <w:t>rovide initial triage of people living in care homes who have been flagged for review.</w:t>
            </w:r>
          </w:p>
        </w:tc>
      </w:tr>
      <w:tr w:rsidR="008C7BE5" w14:paraId="04716F2E" w14:textId="77777777" w:rsidTr="00605DC5">
        <w:tc>
          <w:tcPr>
            <w:tcW w:w="483" w:type="dxa"/>
          </w:tcPr>
          <w:p w14:paraId="6413DA63" w14:textId="36B11ACE" w:rsidR="008C7BE5" w:rsidRDefault="00561BFE" w:rsidP="00561BFE">
            <w:pPr>
              <w:spacing w:line="276" w:lineRule="auto"/>
            </w:pPr>
            <w:r>
              <w:t>7</w:t>
            </w:r>
          </w:p>
        </w:tc>
        <w:tc>
          <w:tcPr>
            <w:tcW w:w="4225" w:type="dxa"/>
          </w:tcPr>
          <w:p w14:paraId="3B42DF1E" w14:textId="420D26C7" w:rsidR="008C7BE5" w:rsidRDefault="008C7BE5" w:rsidP="00561BFE">
            <w:pPr>
              <w:spacing w:line="276" w:lineRule="auto"/>
              <w:rPr>
                <w:rFonts w:cs="Arial"/>
              </w:rPr>
            </w:pPr>
            <w:r>
              <w:t>From no later than 30 September 2020</w:t>
            </w:r>
            <w:r>
              <w:rPr>
                <w:rFonts w:cs="Arial"/>
              </w:rPr>
              <w:t>, o</w:t>
            </w:r>
            <w:r w:rsidRPr="00DD6EB2">
              <w:rPr>
                <w:rFonts w:cs="Arial"/>
              </w:rPr>
              <w:t>wn</w:t>
            </w:r>
            <w:r>
              <w:rPr>
                <w:rFonts w:cs="Arial"/>
              </w:rPr>
              <w:t>,</w:t>
            </w:r>
            <w:r w:rsidRPr="00DD6EB2">
              <w:rPr>
                <w:rFonts w:cs="Arial"/>
              </w:rPr>
              <w:t xml:space="preserve"> and coordinate delivery of</w:t>
            </w:r>
            <w:r>
              <w:rPr>
                <w:rFonts w:cs="Arial"/>
              </w:rPr>
              <w:t>,</w:t>
            </w:r>
            <w:r w:rsidRPr="00DD6EB2">
              <w:rPr>
                <w:rFonts w:cs="Arial"/>
              </w:rPr>
              <w:t xml:space="preserve"> a personalised care and support plan with </w:t>
            </w:r>
            <w:r>
              <w:rPr>
                <w:rFonts w:cs="Arial"/>
              </w:rPr>
              <w:t>people living in care homes based on relevant assessments of needs and drawing on assessments that have already taken place where possible a</w:t>
            </w:r>
            <w:r w:rsidRPr="00DD6EB2">
              <w:rPr>
                <w:rFonts w:cs="Arial"/>
              </w:rPr>
              <w:t>nd:</w:t>
            </w:r>
          </w:p>
          <w:p w14:paraId="0F7645A3" w14:textId="77777777" w:rsidR="008C7BE5" w:rsidRPr="00DD6EB2" w:rsidRDefault="008C7BE5" w:rsidP="00561BFE">
            <w:pPr>
              <w:spacing w:line="276" w:lineRule="auto"/>
              <w:rPr>
                <w:rFonts w:cs="Arial"/>
              </w:rPr>
            </w:pPr>
          </w:p>
          <w:p w14:paraId="475A397C" w14:textId="5CC5BBD5" w:rsidR="008C7BE5" w:rsidRDefault="008C7BE5" w:rsidP="00561BFE">
            <w:pPr>
              <w:pStyle w:val="ListParagraph"/>
              <w:numPr>
                <w:ilvl w:val="0"/>
                <w:numId w:val="26"/>
              </w:numPr>
              <w:spacing w:line="276" w:lineRule="auto"/>
              <w:rPr>
                <w:rFonts w:cs="Arial"/>
                <w:szCs w:val="24"/>
              </w:rPr>
            </w:pPr>
            <w:r>
              <w:rPr>
                <w:rFonts w:cs="Arial"/>
                <w:szCs w:val="24"/>
              </w:rPr>
              <w:t>e</w:t>
            </w:r>
            <w:r w:rsidRPr="00DD6EB2">
              <w:rPr>
                <w:rFonts w:cs="Arial"/>
                <w:szCs w:val="24"/>
              </w:rPr>
              <w:t xml:space="preserve">nsure that this plan is developed and agreed with each new resident within </w:t>
            </w:r>
            <w:r>
              <w:rPr>
                <w:rFonts w:cs="Arial"/>
                <w:szCs w:val="24"/>
              </w:rPr>
              <w:t>seven</w:t>
            </w:r>
            <w:r w:rsidRPr="00DD6EB2">
              <w:rPr>
                <w:rFonts w:cs="Arial"/>
                <w:szCs w:val="24"/>
              </w:rPr>
              <w:t xml:space="preserve"> days of admission to the home, and within </w:t>
            </w:r>
            <w:r>
              <w:rPr>
                <w:rFonts w:cs="Arial"/>
                <w:szCs w:val="24"/>
              </w:rPr>
              <w:t>seven</w:t>
            </w:r>
            <w:r w:rsidRPr="00DD6EB2">
              <w:rPr>
                <w:rFonts w:cs="Arial"/>
                <w:szCs w:val="24"/>
              </w:rPr>
              <w:t xml:space="preserve"> days of readmission following a hospital episode</w:t>
            </w:r>
            <w:r>
              <w:rPr>
                <w:rFonts w:cs="Arial"/>
                <w:szCs w:val="24"/>
              </w:rPr>
              <w:t>.</w:t>
            </w:r>
            <w:r w:rsidRPr="00DD6EB2">
              <w:rPr>
                <w:rFonts w:cs="Arial"/>
                <w:szCs w:val="24"/>
              </w:rPr>
              <w:t xml:space="preserve"> </w:t>
            </w:r>
            <w:r>
              <w:rPr>
                <w:rFonts w:cs="Arial"/>
                <w:szCs w:val="24"/>
              </w:rPr>
              <w:t>Review the plan when clinically appropriate and refresh it at least annually;</w:t>
            </w:r>
          </w:p>
          <w:p w14:paraId="6B5C1785" w14:textId="77777777" w:rsidR="008C7BE5" w:rsidRDefault="008C7BE5" w:rsidP="00561BFE">
            <w:pPr>
              <w:pStyle w:val="ListParagraph"/>
              <w:spacing w:line="276" w:lineRule="auto"/>
              <w:ind w:left="360"/>
              <w:rPr>
                <w:rFonts w:cs="Arial"/>
                <w:szCs w:val="24"/>
              </w:rPr>
            </w:pPr>
          </w:p>
          <w:p w14:paraId="46FF427A" w14:textId="77777777" w:rsidR="008C7BE5" w:rsidRDefault="008C7BE5" w:rsidP="00561BFE">
            <w:pPr>
              <w:pStyle w:val="ListParagraph"/>
              <w:numPr>
                <w:ilvl w:val="0"/>
                <w:numId w:val="26"/>
              </w:numPr>
              <w:spacing w:line="276" w:lineRule="auto"/>
              <w:rPr>
                <w:rFonts w:cs="Arial"/>
                <w:szCs w:val="24"/>
              </w:rPr>
            </w:pPr>
            <w:r>
              <w:rPr>
                <w:rFonts w:cs="Arial"/>
                <w:szCs w:val="24"/>
              </w:rPr>
              <w:lastRenderedPageBreak/>
              <w:t>ensure the plan is developed with the person or/or their carer, and reflects their personal goals;</w:t>
            </w:r>
          </w:p>
          <w:p w14:paraId="49A61138" w14:textId="77777777" w:rsidR="008C7BE5" w:rsidRPr="00072D0C" w:rsidRDefault="008C7BE5" w:rsidP="00561BFE">
            <w:pPr>
              <w:pStyle w:val="ListParagraph"/>
              <w:spacing w:line="276" w:lineRule="auto"/>
              <w:rPr>
                <w:rFonts w:eastAsia="HGSMinchoE"/>
                <w:szCs w:val="24"/>
              </w:rPr>
            </w:pPr>
          </w:p>
          <w:p w14:paraId="37798A07" w14:textId="1EA16B94" w:rsidR="008C7BE5" w:rsidRPr="006035C7" w:rsidRDefault="008C7BE5" w:rsidP="00561BFE">
            <w:pPr>
              <w:pStyle w:val="ListParagraph"/>
              <w:numPr>
                <w:ilvl w:val="0"/>
                <w:numId w:val="26"/>
              </w:numPr>
              <w:spacing w:line="276" w:lineRule="auto"/>
              <w:rPr>
                <w:rFonts w:cs="Arial"/>
                <w:szCs w:val="24"/>
              </w:rPr>
            </w:pPr>
            <w:r>
              <w:rPr>
                <w:rFonts w:eastAsia="HGSMinchoE"/>
                <w:szCs w:val="24"/>
              </w:rPr>
              <w:t xml:space="preserve">ensure the plan is </w:t>
            </w:r>
            <w:r w:rsidRPr="004674CF">
              <w:rPr>
                <w:rFonts w:eastAsia="HGSMinchoE"/>
                <w:szCs w:val="24"/>
              </w:rPr>
              <w:t xml:space="preserve">tailored to the person’s </w:t>
            </w:r>
            <w:proofErr w:type="gramStart"/>
            <w:r w:rsidRPr="004674CF">
              <w:rPr>
                <w:rFonts w:eastAsia="HGSMinchoE"/>
                <w:szCs w:val="24"/>
              </w:rPr>
              <w:t>particular needs</w:t>
            </w:r>
            <w:proofErr w:type="gramEnd"/>
            <w:r w:rsidRPr="004674CF">
              <w:rPr>
                <w:rFonts w:eastAsia="HGSMinchoE"/>
                <w:szCs w:val="24"/>
              </w:rPr>
              <w:t xml:space="preserve"> (for example if they are living with dementia) and circumstances (such as those people approaching the end of their life)</w:t>
            </w:r>
            <w:r>
              <w:rPr>
                <w:rFonts w:eastAsia="HGSMinchoE"/>
                <w:szCs w:val="24"/>
              </w:rPr>
              <w:t>.</w:t>
            </w:r>
          </w:p>
        </w:tc>
        <w:tc>
          <w:tcPr>
            <w:tcW w:w="4223" w:type="dxa"/>
          </w:tcPr>
          <w:p w14:paraId="4CB112CD" w14:textId="0D95799C" w:rsidR="008C7BE5" w:rsidRDefault="008C7BE5" w:rsidP="00561BFE">
            <w:pPr>
              <w:spacing w:line="276" w:lineRule="auto"/>
              <w:rPr>
                <w:rFonts w:cs="Arial"/>
              </w:rPr>
            </w:pPr>
            <w:r>
              <w:lastRenderedPageBreak/>
              <w:t>From no later than 30 September 2020</w:t>
            </w:r>
            <w:r>
              <w:rPr>
                <w:rFonts w:cs="Arial"/>
              </w:rPr>
              <w:t>, d</w:t>
            </w:r>
            <w:r w:rsidRPr="00DD6EB2">
              <w:rPr>
                <w:rFonts w:cs="Arial"/>
              </w:rPr>
              <w:t>eliver</w:t>
            </w:r>
            <w:r>
              <w:rPr>
                <w:rFonts w:cs="Arial"/>
              </w:rPr>
              <w:t>, as determined by the MDT,</w:t>
            </w:r>
            <w:r w:rsidRPr="00DD6EB2">
              <w:rPr>
                <w:rFonts w:cs="Arial"/>
              </w:rPr>
              <w:t xml:space="preserve"> elements of holistic assessment for people in care homes across five domains; physical, psychological, functional, social and environmental</w:t>
            </w:r>
            <w:r>
              <w:rPr>
                <w:rFonts w:cs="Arial"/>
              </w:rPr>
              <w:t>, d</w:t>
            </w:r>
            <w:r w:rsidRPr="00DD6EB2">
              <w:rPr>
                <w:rFonts w:cs="Arial"/>
              </w:rPr>
              <w:t>raw</w:t>
            </w:r>
            <w:r>
              <w:rPr>
                <w:rFonts w:cs="Arial"/>
              </w:rPr>
              <w:t>ing</w:t>
            </w:r>
            <w:r w:rsidRPr="00DD6EB2">
              <w:rPr>
                <w:rFonts w:cs="Arial"/>
              </w:rPr>
              <w:t xml:space="preserve"> on existing assessments that have taken place where possible</w:t>
            </w:r>
            <w:r>
              <w:rPr>
                <w:rFonts w:cs="Arial"/>
              </w:rPr>
              <w:t xml:space="preserve">. </w:t>
            </w:r>
          </w:p>
          <w:p w14:paraId="402B0E4D" w14:textId="77777777" w:rsidR="008C7BE5" w:rsidRDefault="008C7BE5" w:rsidP="00561BFE">
            <w:pPr>
              <w:spacing w:line="276" w:lineRule="auto"/>
              <w:rPr>
                <w:rFonts w:cs="Arial"/>
              </w:rPr>
            </w:pPr>
          </w:p>
          <w:p w14:paraId="4ED072EB" w14:textId="77777777" w:rsidR="008C7BE5" w:rsidRPr="00DD6EB2" w:rsidRDefault="008C7BE5" w:rsidP="00561BFE">
            <w:pPr>
              <w:spacing w:line="276" w:lineRule="auto"/>
              <w:rPr>
                <w:rFonts w:cs="Arial"/>
              </w:rPr>
            </w:pPr>
            <w:r>
              <w:rPr>
                <w:rFonts w:cs="Arial"/>
              </w:rPr>
              <w:t xml:space="preserve">Provide input to the person’s care and support plan </w:t>
            </w:r>
            <w:r w:rsidRPr="00DD6EB2">
              <w:rPr>
                <w:rFonts w:cs="Arial"/>
              </w:rPr>
              <w:t xml:space="preserve">within </w:t>
            </w:r>
            <w:r>
              <w:rPr>
                <w:rFonts w:cs="Arial"/>
              </w:rPr>
              <w:t>seven</w:t>
            </w:r>
            <w:r w:rsidRPr="00DD6EB2">
              <w:rPr>
                <w:rFonts w:cs="Arial"/>
              </w:rPr>
              <w:t xml:space="preserve"> working days of admission to the home, and within </w:t>
            </w:r>
            <w:r>
              <w:rPr>
                <w:rFonts w:cs="Arial"/>
              </w:rPr>
              <w:t>seven</w:t>
            </w:r>
            <w:r w:rsidRPr="00DD6EB2">
              <w:rPr>
                <w:rFonts w:cs="Arial"/>
              </w:rPr>
              <w:t xml:space="preserve"> working days of readmission following a hospital episode</w:t>
            </w:r>
            <w:r>
              <w:rPr>
                <w:rFonts w:cs="Arial"/>
              </w:rPr>
              <w:t>.</w:t>
            </w:r>
          </w:p>
          <w:p w14:paraId="2DD57E22" w14:textId="77777777" w:rsidR="008C7BE5" w:rsidRPr="00DD6EB2" w:rsidRDefault="008C7BE5" w:rsidP="00561BFE">
            <w:pPr>
              <w:spacing w:line="276" w:lineRule="auto"/>
              <w:rPr>
                <w:rFonts w:cs="Arial"/>
              </w:rPr>
            </w:pPr>
          </w:p>
          <w:p w14:paraId="7254B33E" w14:textId="4F822520" w:rsidR="008C7BE5" w:rsidRDefault="008C7BE5" w:rsidP="00561BFE">
            <w:pPr>
              <w:spacing w:line="276" w:lineRule="auto"/>
              <w:rPr>
                <w:rFonts w:cs="Arial"/>
              </w:rPr>
            </w:pPr>
            <w:r w:rsidRPr="00DD6EB2">
              <w:rPr>
                <w:rFonts w:cs="Arial"/>
              </w:rPr>
              <w:lastRenderedPageBreak/>
              <w:t>Deliver palliative and end of life care</w:t>
            </w:r>
            <w:r>
              <w:rPr>
                <w:rFonts w:cs="Arial"/>
              </w:rPr>
              <w:t>, as required,</w:t>
            </w:r>
            <w:r w:rsidRPr="00DD6EB2">
              <w:rPr>
                <w:rFonts w:cs="Arial"/>
              </w:rPr>
              <w:t xml:space="preserve"> </w:t>
            </w:r>
            <w:r>
              <w:rPr>
                <w:rFonts w:cs="Arial"/>
              </w:rPr>
              <w:t xml:space="preserve">to </w:t>
            </w:r>
            <w:r w:rsidRPr="00DD6EB2">
              <w:rPr>
                <w:rFonts w:cs="Arial"/>
              </w:rPr>
              <w:t>care home residents 24 hours a da</w:t>
            </w:r>
            <w:r>
              <w:rPr>
                <w:rFonts w:cs="Arial"/>
              </w:rPr>
              <w:t xml:space="preserve">y. </w:t>
            </w:r>
          </w:p>
          <w:p w14:paraId="366D4A02" w14:textId="77777777" w:rsidR="008C7BE5" w:rsidRDefault="008C7BE5" w:rsidP="00561BFE">
            <w:pPr>
              <w:spacing w:line="276" w:lineRule="auto"/>
              <w:rPr>
                <w:rFonts w:cs="Arial"/>
              </w:rPr>
            </w:pPr>
          </w:p>
          <w:p w14:paraId="19BD0B91" w14:textId="429D13E4" w:rsidR="008C7BE5" w:rsidRDefault="008C7BE5" w:rsidP="00561BFE">
            <w:pPr>
              <w:pStyle w:val="ListParagraph"/>
              <w:spacing w:line="276" w:lineRule="auto"/>
              <w:ind w:left="0"/>
            </w:pPr>
          </w:p>
        </w:tc>
      </w:tr>
      <w:tr w:rsidR="008C7BE5" w14:paraId="3BA30597" w14:textId="77777777" w:rsidTr="00605DC5">
        <w:tc>
          <w:tcPr>
            <w:tcW w:w="483" w:type="dxa"/>
          </w:tcPr>
          <w:p w14:paraId="7711D013" w14:textId="435E12EC" w:rsidR="008C7BE5" w:rsidRDefault="00561BFE" w:rsidP="00561BFE">
            <w:pPr>
              <w:spacing w:line="276" w:lineRule="auto"/>
            </w:pPr>
            <w:r>
              <w:lastRenderedPageBreak/>
              <w:t>8</w:t>
            </w:r>
          </w:p>
        </w:tc>
        <w:tc>
          <w:tcPr>
            <w:tcW w:w="4225" w:type="dxa"/>
          </w:tcPr>
          <w:p w14:paraId="64FF368A" w14:textId="20CDA656" w:rsidR="008C7BE5" w:rsidRDefault="008C7BE5" w:rsidP="00561BFE">
            <w:pPr>
              <w:spacing w:line="276" w:lineRule="auto"/>
              <w:rPr>
                <w:rFonts w:cs="Arial"/>
              </w:rPr>
            </w:pPr>
            <w:r>
              <w:t>From no later than 30 September 2020</w:t>
            </w:r>
            <w:r>
              <w:rPr>
                <w:rFonts w:cs="Arial"/>
              </w:rPr>
              <w:t>, c</w:t>
            </w:r>
            <w:r w:rsidRPr="00DD6EB2">
              <w:rPr>
                <w:rFonts w:cs="Arial"/>
              </w:rPr>
              <w:t>oordinate</w:t>
            </w:r>
            <w:r>
              <w:rPr>
                <w:rFonts w:cs="Arial"/>
              </w:rPr>
              <w:t>, alongside community providers,</w:t>
            </w:r>
            <w:r w:rsidRPr="00DD6EB2">
              <w:rPr>
                <w:rFonts w:cs="Arial"/>
              </w:rPr>
              <w:t xml:space="preserve"> one-off or regular support to people within care homes</w:t>
            </w:r>
            <w:r>
              <w:rPr>
                <w:rFonts w:cs="Arial"/>
              </w:rPr>
              <w:t>,</w:t>
            </w:r>
            <w:r w:rsidRPr="00DD6EB2">
              <w:rPr>
                <w:rFonts w:cs="Arial"/>
              </w:rPr>
              <w:t xml:space="preserve"> based on the needs defined in the personalised care and support plan</w:t>
            </w:r>
            <w:r>
              <w:rPr>
                <w:rFonts w:cs="Arial"/>
              </w:rPr>
              <w:t xml:space="preserve"> and those identified by care home staff</w:t>
            </w:r>
            <w:r w:rsidRPr="00DD6EB2">
              <w:rPr>
                <w:rFonts w:cs="Arial"/>
              </w:rPr>
              <w:t xml:space="preserve">. </w:t>
            </w:r>
          </w:p>
          <w:p w14:paraId="2DDC4AD7" w14:textId="77777777" w:rsidR="008C7BE5" w:rsidRDefault="008C7BE5" w:rsidP="00561BFE">
            <w:pPr>
              <w:spacing w:line="276" w:lineRule="auto"/>
              <w:rPr>
                <w:rFonts w:cs="Arial"/>
              </w:rPr>
            </w:pPr>
          </w:p>
          <w:p w14:paraId="772FD37F" w14:textId="39F25364" w:rsidR="008C7BE5" w:rsidRDefault="008C7BE5" w:rsidP="00561BFE">
            <w:pPr>
              <w:spacing w:line="276" w:lineRule="auto"/>
              <w:rPr>
                <w:rFonts w:cs="Arial"/>
              </w:rPr>
            </w:pPr>
            <w:r>
              <w:rPr>
                <w:rFonts w:cs="Arial"/>
              </w:rPr>
              <w:t>Directly deliver or support delivery of elements of this support where appropriate, including:</w:t>
            </w:r>
          </w:p>
          <w:p w14:paraId="00D1B497" w14:textId="77777777" w:rsidR="008C7BE5" w:rsidRPr="007D0676" w:rsidRDefault="008C7BE5" w:rsidP="00561BFE">
            <w:pPr>
              <w:spacing w:line="276" w:lineRule="auto"/>
              <w:rPr>
                <w:rFonts w:cs="Arial"/>
              </w:rPr>
            </w:pPr>
          </w:p>
          <w:p w14:paraId="75174766" w14:textId="6DB3A0E6" w:rsidR="008C7BE5" w:rsidRPr="008C7BE5" w:rsidRDefault="000C6C5B" w:rsidP="00561BFE">
            <w:pPr>
              <w:pStyle w:val="ListParagraph"/>
              <w:numPr>
                <w:ilvl w:val="0"/>
                <w:numId w:val="61"/>
              </w:numPr>
              <w:spacing w:line="276" w:lineRule="auto"/>
              <w:rPr>
                <w:rFonts w:eastAsia="HGSMinchoE" w:cs="Arial"/>
                <w:szCs w:val="24"/>
              </w:rPr>
            </w:pPr>
            <w:r>
              <w:rPr>
                <w:rFonts w:eastAsia="HGSMinchoE" w:cs="Arial"/>
                <w:szCs w:val="24"/>
              </w:rPr>
              <w:t>s</w:t>
            </w:r>
            <w:r w:rsidR="008C7BE5">
              <w:rPr>
                <w:rFonts w:eastAsia="HGSMinchoE" w:cs="Arial"/>
                <w:szCs w:val="24"/>
              </w:rPr>
              <w:t>tructured m</w:t>
            </w:r>
            <w:r w:rsidR="008C7BE5" w:rsidRPr="00FC5208">
              <w:rPr>
                <w:rFonts w:eastAsia="HGSMinchoE" w:cs="Arial"/>
                <w:szCs w:val="24"/>
              </w:rPr>
              <w:t>edication reviews</w:t>
            </w:r>
            <w:r w:rsidR="008C7BE5">
              <w:rPr>
                <w:rFonts w:eastAsia="HGSMinchoE" w:cs="Arial"/>
                <w:szCs w:val="24"/>
              </w:rPr>
              <w:t xml:space="preserve"> (SMRs), delivered according to the requirements of the</w:t>
            </w:r>
            <w:r w:rsidR="008C7BE5" w:rsidRPr="00FC5208">
              <w:rPr>
                <w:rFonts w:eastAsia="HGSMinchoE" w:cs="Arial"/>
                <w:szCs w:val="24"/>
              </w:rPr>
              <w:t xml:space="preserve"> </w:t>
            </w:r>
            <w:r w:rsidR="008C7BE5">
              <w:rPr>
                <w:rFonts w:eastAsia="HGSMinchoE" w:cs="Arial"/>
                <w:szCs w:val="24"/>
              </w:rPr>
              <w:t>SMR specification.</w:t>
            </w:r>
          </w:p>
          <w:p w14:paraId="191B03E3" w14:textId="77777777" w:rsidR="008C7BE5" w:rsidRDefault="008C7BE5" w:rsidP="00561BFE">
            <w:pPr>
              <w:pStyle w:val="ListParagraph"/>
              <w:spacing w:line="276" w:lineRule="auto"/>
              <w:ind w:left="360"/>
              <w:rPr>
                <w:rFonts w:eastAsia="HGSMinchoE" w:cs="Arial"/>
                <w:szCs w:val="24"/>
              </w:rPr>
            </w:pPr>
          </w:p>
          <w:p w14:paraId="3C70E605" w14:textId="21893549" w:rsidR="008C7BE5" w:rsidRPr="004674CF" w:rsidRDefault="000C6C5B" w:rsidP="00561BFE">
            <w:pPr>
              <w:pStyle w:val="ListParagraph"/>
              <w:numPr>
                <w:ilvl w:val="0"/>
                <w:numId w:val="61"/>
              </w:numPr>
              <w:spacing w:line="276" w:lineRule="auto"/>
              <w:rPr>
                <w:rFonts w:eastAsia="HGSMinchoE" w:cs="Arial"/>
                <w:szCs w:val="24"/>
              </w:rPr>
            </w:pPr>
            <w:r>
              <w:rPr>
                <w:rFonts w:eastAsia="HGSMinchoE" w:cs="Arial"/>
                <w:szCs w:val="24"/>
              </w:rPr>
              <w:t>a</w:t>
            </w:r>
            <w:r w:rsidR="008C7BE5" w:rsidRPr="00B57BB7">
              <w:rPr>
                <w:rFonts w:eastAsia="HGSMinchoE" w:cs="Arial"/>
                <w:szCs w:val="24"/>
              </w:rPr>
              <w:t xml:space="preserve">ctivities to </w:t>
            </w:r>
            <w:r w:rsidR="008C7BE5">
              <w:rPr>
                <w:rFonts w:eastAsia="HGSMinchoE" w:cs="Arial"/>
                <w:szCs w:val="24"/>
              </w:rPr>
              <w:t xml:space="preserve">support the achievement of goals identified as important to the person in their personalised </w:t>
            </w:r>
            <w:r w:rsidR="008C7BE5" w:rsidRPr="00B57BB7">
              <w:rPr>
                <w:rFonts w:eastAsia="HGSMinchoE" w:cs="Arial"/>
                <w:szCs w:val="24"/>
              </w:rPr>
              <w:t>care and support plan, including</w:t>
            </w:r>
            <w:r w:rsidR="008C7BE5">
              <w:rPr>
                <w:rFonts w:eastAsia="HGSMinchoE" w:cs="Arial"/>
                <w:szCs w:val="24"/>
              </w:rPr>
              <w:t xml:space="preserve"> reasonable efforts to</w:t>
            </w:r>
            <w:r w:rsidR="008C7BE5" w:rsidRPr="00B57BB7">
              <w:rPr>
                <w:rFonts w:eastAsia="HGSMinchoE" w:cs="Arial"/>
                <w:szCs w:val="24"/>
              </w:rPr>
              <w:t xml:space="preserve"> build links with local organisations outside of the home</w:t>
            </w:r>
            <w:r w:rsidR="008C7BE5">
              <w:rPr>
                <w:rFonts w:eastAsia="HGSMinchoE" w:cs="Arial"/>
                <w:szCs w:val="24"/>
              </w:rPr>
              <w:t>.</w:t>
            </w:r>
          </w:p>
        </w:tc>
        <w:tc>
          <w:tcPr>
            <w:tcW w:w="4223" w:type="dxa"/>
            <w:vAlign w:val="center"/>
          </w:tcPr>
          <w:p w14:paraId="52351D64" w14:textId="325ACEE0" w:rsidR="008C7BE5" w:rsidRDefault="008C7BE5" w:rsidP="00561BFE">
            <w:pPr>
              <w:spacing w:line="276" w:lineRule="auto"/>
              <w:rPr>
                <w:rFonts w:cs="Arial"/>
              </w:rPr>
            </w:pPr>
            <w:r>
              <w:t>From no later than 30 September 2020</w:t>
            </w:r>
            <w:r>
              <w:rPr>
                <w:rFonts w:cs="Arial"/>
              </w:rPr>
              <w:t>, p</w:t>
            </w:r>
            <w:r w:rsidRPr="00DD6EB2">
              <w:rPr>
                <w:rFonts w:cs="Arial"/>
              </w:rPr>
              <w:t>rovide one-off or regular support to people within care homes based on the needs defined in the personalised care and support plan</w:t>
            </w:r>
            <w:r>
              <w:rPr>
                <w:rFonts w:cs="Arial"/>
              </w:rPr>
              <w:t xml:space="preserve"> and those identified by care home staff</w:t>
            </w:r>
            <w:r w:rsidRPr="00DD6EB2">
              <w:rPr>
                <w:rFonts w:cs="Arial"/>
              </w:rPr>
              <w:t xml:space="preserve">. </w:t>
            </w:r>
          </w:p>
          <w:p w14:paraId="5AB55B6B" w14:textId="77777777" w:rsidR="008C7BE5" w:rsidRDefault="008C7BE5" w:rsidP="00561BFE">
            <w:pPr>
              <w:spacing w:line="276" w:lineRule="auto"/>
              <w:rPr>
                <w:rFonts w:cs="Arial"/>
              </w:rPr>
            </w:pPr>
          </w:p>
          <w:p w14:paraId="7A810CC2" w14:textId="77777777" w:rsidR="008C7BE5" w:rsidRDefault="008C7BE5" w:rsidP="00561BFE">
            <w:pPr>
              <w:spacing w:line="276" w:lineRule="auto"/>
              <w:rPr>
                <w:rFonts w:cs="Arial"/>
              </w:rPr>
            </w:pPr>
            <w:r>
              <w:rPr>
                <w:rFonts w:cs="Arial"/>
              </w:rPr>
              <w:t>This support must</w:t>
            </w:r>
            <w:r w:rsidRPr="00DD6EB2">
              <w:rPr>
                <w:rFonts w:cs="Arial"/>
              </w:rPr>
              <w:t xml:space="preserve"> include, but is not limited to:</w:t>
            </w:r>
          </w:p>
          <w:p w14:paraId="43D3561A" w14:textId="77777777" w:rsidR="008C7BE5" w:rsidRPr="00DD6EB2" w:rsidRDefault="008C7BE5" w:rsidP="00561BFE">
            <w:pPr>
              <w:spacing w:line="276" w:lineRule="auto"/>
              <w:rPr>
                <w:rFonts w:cs="Arial"/>
              </w:rPr>
            </w:pPr>
          </w:p>
          <w:p w14:paraId="1D9B0561" w14:textId="0E6C43B5"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FC5208">
              <w:rPr>
                <w:rFonts w:eastAsia="HGSMinchoE" w:cs="Arial"/>
                <w:szCs w:val="24"/>
              </w:rPr>
              <w:t>ommunity nursing</w:t>
            </w:r>
          </w:p>
          <w:p w14:paraId="5F2A1D39" w14:textId="22EBE1DA"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t</w:t>
            </w:r>
            <w:r w:rsidR="008C7BE5" w:rsidRPr="00FC5208">
              <w:rPr>
                <w:rFonts w:eastAsia="HGSMinchoE" w:cs="Arial"/>
                <w:szCs w:val="24"/>
              </w:rPr>
              <w:t xml:space="preserve">issue viability </w:t>
            </w:r>
          </w:p>
          <w:p w14:paraId="6DAFFC61" w14:textId="2A0B1770" w:rsidR="008C7BE5" w:rsidRDefault="000C6C5B" w:rsidP="00561BFE">
            <w:pPr>
              <w:pStyle w:val="ListParagraph"/>
              <w:numPr>
                <w:ilvl w:val="0"/>
                <w:numId w:val="62"/>
              </w:numPr>
              <w:spacing w:line="276" w:lineRule="auto"/>
              <w:rPr>
                <w:rFonts w:eastAsia="HGSMinchoE" w:cs="Arial"/>
                <w:szCs w:val="24"/>
              </w:rPr>
            </w:pPr>
            <w:r>
              <w:rPr>
                <w:rFonts w:eastAsia="HGSMinchoE" w:cs="Arial"/>
                <w:szCs w:val="24"/>
              </w:rPr>
              <w:t>f</w:t>
            </w:r>
            <w:r w:rsidR="008C7BE5" w:rsidRPr="00FC5208">
              <w:rPr>
                <w:rFonts w:eastAsia="HGSMinchoE" w:cs="Arial"/>
                <w:szCs w:val="24"/>
              </w:rPr>
              <w:t>alls prevention, advice and strength and balance training</w:t>
            </w:r>
          </w:p>
          <w:p w14:paraId="13720BEE" w14:textId="32E3C0C8"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o</w:t>
            </w:r>
            <w:r w:rsidR="008C7BE5" w:rsidRPr="00FC5208">
              <w:rPr>
                <w:rFonts w:eastAsia="HGSMinchoE" w:cs="Arial"/>
                <w:szCs w:val="24"/>
              </w:rPr>
              <w:t>ral health</w:t>
            </w:r>
          </w:p>
          <w:p w14:paraId="19405226" w14:textId="2D0A53B8"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s</w:t>
            </w:r>
            <w:r w:rsidR="008C7BE5" w:rsidRPr="00FC5208">
              <w:rPr>
                <w:rFonts w:eastAsia="HGSMinchoE" w:cs="Arial"/>
                <w:szCs w:val="24"/>
              </w:rPr>
              <w:t>peech and language therapy including dysphagia assessment and support</w:t>
            </w:r>
          </w:p>
          <w:p w14:paraId="539C477B" w14:textId="4303C17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d</w:t>
            </w:r>
            <w:r w:rsidR="008C7BE5" w:rsidRPr="00FC5208">
              <w:rPr>
                <w:rFonts w:eastAsia="HGSMinchoE" w:cs="Arial"/>
                <w:szCs w:val="24"/>
              </w:rPr>
              <w:t>ietetics</w:t>
            </w:r>
          </w:p>
          <w:p w14:paraId="2D6F250F" w14:textId="716BB84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h</w:t>
            </w:r>
            <w:r w:rsidR="008C7BE5" w:rsidRPr="00FC5208">
              <w:rPr>
                <w:rFonts w:eastAsia="HGSMinchoE" w:cs="Arial"/>
                <w:szCs w:val="24"/>
              </w:rPr>
              <w:t>ydration and nutrition support</w:t>
            </w:r>
          </w:p>
          <w:p w14:paraId="1BED6F18" w14:textId="5D67A423"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DD6EB2">
              <w:rPr>
                <w:rFonts w:eastAsia="HGSMinchoE" w:cs="Arial"/>
                <w:szCs w:val="24"/>
              </w:rPr>
              <w:t xml:space="preserve">ontinence </w:t>
            </w:r>
            <w:r w:rsidR="008C7BE5" w:rsidRPr="00FC5208">
              <w:rPr>
                <w:rFonts w:eastAsia="HGSMinchoE" w:cs="Arial"/>
                <w:szCs w:val="24"/>
              </w:rPr>
              <w:t>assessment and care (urinary and faecal)</w:t>
            </w:r>
          </w:p>
          <w:p w14:paraId="7ECB997F" w14:textId="574B2EA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p</w:t>
            </w:r>
            <w:r w:rsidR="008C7BE5" w:rsidRPr="00FC5208">
              <w:rPr>
                <w:rFonts w:eastAsia="HGSMinchoE" w:cs="Arial"/>
                <w:szCs w:val="24"/>
              </w:rPr>
              <w:t>sychological therapies e.g. via IAPT services or local older people’s mental health services</w:t>
            </w:r>
          </w:p>
          <w:p w14:paraId="63CC9CAA" w14:textId="02906497" w:rsidR="008C7BE5" w:rsidRPr="004674CF"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FC5208">
              <w:rPr>
                <w:rFonts w:eastAsia="HGSMinchoE" w:cs="Arial"/>
                <w:szCs w:val="24"/>
              </w:rPr>
              <w:t>ognitive stimulation or rehabilitation therapy and reminiscence therapy for people with dementia</w:t>
            </w:r>
          </w:p>
        </w:tc>
      </w:tr>
      <w:tr w:rsidR="00605DC5" w14:paraId="263C0F9F" w14:textId="77777777" w:rsidTr="00605DC5">
        <w:tc>
          <w:tcPr>
            <w:tcW w:w="483" w:type="dxa"/>
          </w:tcPr>
          <w:p w14:paraId="0C1F2C3D" w14:textId="0B08C985" w:rsidR="00605DC5" w:rsidRDefault="00561BFE" w:rsidP="00561BFE">
            <w:pPr>
              <w:spacing w:line="276" w:lineRule="auto"/>
            </w:pPr>
            <w:r>
              <w:t>9</w:t>
            </w:r>
          </w:p>
        </w:tc>
        <w:tc>
          <w:tcPr>
            <w:tcW w:w="4225" w:type="dxa"/>
          </w:tcPr>
          <w:p w14:paraId="1FACADA9" w14:textId="77777777" w:rsidR="00605DC5" w:rsidRPr="008B5308" w:rsidRDefault="00605DC5" w:rsidP="00561BFE">
            <w:pPr>
              <w:spacing w:line="276" w:lineRule="auto"/>
              <w:rPr>
                <w:rFonts w:cs="Arial"/>
              </w:rPr>
            </w:pPr>
            <w:r>
              <w:t>From no later than 30 September 2020</w:t>
            </w:r>
            <w:r>
              <w:rPr>
                <w:rFonts w:cs="Arial"/>
              </w:rPr>
              <w:t>, provide, through the MDT, identification</w:t>
            </w:r>
            <w:r w:rsidRPr="008B5308">
              <w:rPr>
                <w:rFonts w:cs="Arial"/>
              </w:rPr>
              <w:t xml:space="preserve"> and assessment of </w:t>
            </w:r>
            <w:r w:rsidRPr="008B5308">
              <w:rPr>
                <w:rFonts w:cs="Arial"/>
              </w:rPr>
              <w:lastRenderedPageBreak/>
              <w:t xml:space="preserve">eligibility for urgent community response services </w:t>
            </w:r>
          </w:p>
          <w:p w14:paraId="22F0DF8E" w14:textId="77777777" w:rsidR="00605DC5" w:rsidRPr="008C7BE5" w:rsidRDefault="00605DC5" w:rsidP="00561BFE">
            <w:pPr>
              <w:spacing w:line="276" w:lineRule="auto"/>
              <w:rPr>
                <w:rFonts w:cs="Arial"/>
              </w:rPr>
            </w:pPr>
          </w:p>
        </w:tc>
        <w:tc>
          <w:tcPr>
            <w:tcW w:w="4223" w:type="dxa"/>
          </w:tcPr>
          <w:p w14:paraId="3E8EE4E4" w14:textId="77777777" w:rsidR="00605DC5" w:rsidRDefault="00605DC5" w:rsidP="00561BFE">
            <w:pPr>
              <w:spacing w:line="276" w:lineRule="auto"/>
              <w:rPr>
                <w:rFonts w:cs="Arial"/>
              </w:rPr>
            </w:pPr>
            <w:r>
              <w:lastRenderedPageBreak/>
              <w:t>From no later than 30 September 2020</w:t>
            </w:r>
            <w:r>
              <w:rPr>
                <w:rFonts w:cs="Arial"/>
              </w:rPr>
              <w:t>, s</w:t>
            </w:r>
            <w:r w:rsidRPr="00DD6EB2">
              <w:rPr>
                <w:rFonts w:cs="Arial"/>
              </w:rPr>
              <w:t xml:space="preserve">upport the identification and </w:t>
            </w:r>
            <w:r w:rsidRPr="00DD6EB2">
              <w:rPr>
                <w:rFonts w:cs="Arial"/>
              </w:rPr>
              <w:lastRenderedPageBreak/>
              <w:t>assessment of eligibility for urgent community response services and</w:t>
            </w:r>
            <w:r>
              <w:rPr>
                <w:rFonts w:cs="Arial"/>
              </w:rPr>
              <w:t>:</w:t>
            </w:r>
          </w:p>
          <w:p w14:paraId="0AEFE286" w14:textId="77777777" w:rsidR="00605DC5" w:rsidRDefault="00605DC5" w:rsidP="00561BFE">
            <w:pPr>
              <w:spacing w:line="276" w:lineRule="auto"/>
              <w:rPr>
                <w:rFonts w:cs="Arial"/>
              </w:rPr>
            </w:pPr>
          </w:p>
          <w:p w14:paraId="2FD1E8D3" w14:textId="241D7A1E" w:rsidR="00605DC5" w:rsidRPr="006035C7" w:rsidRDefault="000C6C5B" w:rsidP="00561BFE">
            <w:pPr>
              <w:pStyle w:val="ListParagraph"/>
              <w:numPr>
                <w:ilvl w:val="0"/>
                <w:numId w:val="59"/>
              </w:numPr>
              <w:spacing w:line="276" w:lineRule="auto"/>
              <w:ind w:left="360"/>
              <w:rPr>
                <w:rFonts w:cs="Arial"/>
              </w:rPr>
            </w:pPr>
            <w:r>
              <w:rPr>
                <w:rFonts w:eastAsia="HGSMinchoE" w:cs="Arial"/>
                <w:szCs w:val="24"/>
              </w:rPr>
              <w:t>d</w:t>
            </w:r>
            <w:r w:rsidR="00605DC5" w:rsidRPr="006035C7">
              <w:rPr>
                <w:rFonts w:eastAsia="HGSMinchoE" w:cs="Arial"/>
                <w:szCs w:val="24"/>
              </w:rPr>
              <w:t>eliver urgent community response services (which include provision of crisis response within two hours and reablement within two days of referral)</w:t>
            </w:r>
            <w:r>
              <w:rPr>
                <w:rFonts w:eastAsia="HGSMinchoE" w:cs="Arial"/>
                <w:szCs w:val="24"/>
              </w:rPr>
              <w:t>;</w:t>
            </w:r>
          </w:p>
          <w:p w14:paraId="22DDBEB2" w14:textId="77777777" w:rsidR="00605DC5" w:rsidRPr="006035C7" w:rsidRDefault="00605DC5" w:rsidP="00561BFE">
            <w:pPr>
              <w:spacing w:line="276" w:lineRule="auto"/>
              <w:rPr>
                <w:rFonts w:cs="Arial"/>
              </w:rPr>
            </w:pPr>
          </w:p>
          <w:p w14:paraId="2FE9768D" w14:textId="221CC720" w:rsidR="00605DC5" w:rsidRPr="006035C7" w:rsidRDefault="000C6C5B" w:rsidP="00561BFE">
            <w:pPr>
              <w:pStyle w:val="ListParagraph"/>
              <w:numPr>
                <w:ilvl w:val="0"/>
                <w:numId w:val="59"/>
              </w:numPr>
              <w:spacing w:line="276" w:lineRule="auto"/>
              <w:ind w:left="360"/>
              <w:rPr>
                <w:rFonts w:cs="Arial"/>
              </w:rPr>
            </w:pPr>
            <w:r>
              <w:rPr>
                <w:rFonts w:eastAsia="HGSMinchoE" w:cs="Arial"/>
                <w:szCs w:val="24"/>
              </w:rPr>
              <w:t>d</w:t>
            </w:r>
            <w:r w:rsidR="00605DC5" w:rsidRPr="006035C7">
              <w:rPr>
                <w:rFonts w:eastAsia="HGSMinchoE" w:cs="Arial"/>
                <w:szCs w:val="24"/>
              </w:rPr>
              <w:t>eliver specialist mental health support in cases of mental health crises and challenging behavioural and psychological symptoms of dementia</w:t>
            </w:r>
          </w:p>
          <w:p w14:paraId="2A75C86E" w14:textId="77777777" w:rsidR="00605DC5" w:rsidRPr="006035C7" w:rsidRDefault="00605DC5" w:rsidP="00561BFE">
            <w:pPr>
              <w:spacing w:line="276" w:lineRule="auto"/>
              <w:rPr>
                <w:rFonts w:cs="Arial"/>
              </w:rPr>
            </w:pPr>
          </w:p>
          <w:p w14:paraId="0DBCFCD4" w14:textId="0396E933" w:rsidR="00605DC5" w:rsidRPr="003B7D3C" w:rsidRDefault="00605DC5" w:rsidP="00561BFE">
            <w:pPr>
              <w:spacing w:line="276" w:lineRule="auto"/>
              <w:rPr>
                <w:rFonts w:cs="Arial"/>
              </w:rPr>
            </w:pPr>
            <w:r w:rsidRPr="006035C7">
              <w:rPr>
                <w:rFonts w:cs="Arial"/>
              </w:rPr>
              <w:t>Where the above would help a person to remain safely and recover in their care home as an alternative to hospital admission or to support timely hospital discharge.</w:t>
            </w:r>
          </w:p>
        </w:tc>
      </w:tr>
      <w:tr w:rsidR="00605DC5" w14:paraId="7F25BD95" w14:textId="77777777" w:rsidTr="007305A1">
        <w:tc>
          <w:tcPr>
            <w:tcW w:w="483" w:type="dxa"/>
          </w:tcPr>
          <w:p w14:paraId="2A785E96" w14:textId="6B27A85D" w:rsidR="00605DC5" w:rsidRDefault="00561BFE" w:rsidP="00561BFE">
            <w:pPr>
              <w:spacing w:line="276" w:lineRule="auto"/>
            </w:pPr>
            <w:r>
              <w:lastRenderedPageBreak/>
              <w:t>10</w:t>
            </w:r>
          </w:p>
        </w:tc>
        <w:tc>
          <w:tcPr>
            <w:tcW w:w="4225" w:type="dxa"/>
          </w:tcPr>
          <w:p w14:paraId="61E8AEF4" w14:textId="6FA0A18B" w:rsidR="00605DC5" w:rsidRPr="008C7BE5" w:rsidRDefault="00605DC5" w:rsidP="00561BFE">
            <w:pPr>
              <w:spacing w:line="276" w:lineRule="auto"/>
              <w:rPr>
                <w:rFonts w:cs="Arial"/>
              </w:rPr>
            </w:pPr>
            <w:r w:rsidRPr="008C7BE5">
              <w:rPr>
                <w:rFonts w:cs="Arial"/>
              </w:rPr>
              <w:t>Provide support and assistance to the care home by:</w:t>
            </w:r>
          </w:p>
          <w:p w14:paraId="368CC472" w14:textId="77777777" w:rsidR="00605DC5" w:rsidRPr="006035C7" w:rsidRDefault="00605DC5" w:rsidP="00561BFE">
            <w:pPr>
              <w:pStyle w:val="ListParagraph"/>
              <w:spacing w:line="276" w:lineRule="auto"/>
              <w:rPr>
                <w:rFonts w:eastAsia="HGSMinchoE" w:cs="Arial"/>
                <w:szCs w:val="24"/>
              </w:rPr>
            </w:pPr>
          </w:p>
          <w:p w14:paraId="51592247" w14:textId="77777777" w:rsidR="00605DC5" w:rsidRPr="007305A1" w:rsidRDefault="00605DC5" w:rsidP="00561BFE">
            <w:pPr>
              <w:pStyle w:val="ListParagraph"/>
              <w:numPr>
                <w:ilvl w:val="0"/>
                <w:numId w:val="66"/>
              </w:numPr>
              <w:spacing w:line="276" w:lineRule="auto"/>
              <w:ind w:left="360"/>
              <w:rPr>
                <w:rFonts w:eastAsia="HGSMinchoE" w:cs="Arial"/>
                <w:szCs w:val="24"/>
              </w:rPr>
            </w:pPr>
            <w:r w:rsidRPr="008C7BE5">
              <w:rPr>
                <w:rFonts w:eastAsia="HGSMinchoE" w:cs="Arial"/>
                <w:szCs w:val="24"/>
              </w:rPr>
              <w:t>supporting the professional development of care home staff by identifying opportunities for training and shared learning;</w:t>
            </w:r>
          </w:p>
          <w:p w14:paraId="6384E7F7" w14:textId="77777777" w:rsidR="00605DC5" w:rsidRPr="006035C7" w:rsidRDefault="00605DC5" w:rsidP="00561BFE">
            <w:pPr>
              <w:pStyle w:val="ListParagraph"/>
              <w:spacing w:line="276" w:lineRule="auto"/>
              <w:ind w:left="0"/>
              <w:rPr>
                <w:rFonts w:cs="Arial"/>
              </w:rPr>
            </w:pPr>
          </w:p>
          <w:p w14:paraId="7CC3D754" w14:textId="77777777" w:rsidR="00605DC5" w:rsidRPr="007305A1" w:rsidRDefault="00605DC5" w:rsidP="00561BFE">
            <w:pPr>
              <w:pStyle w:val="ListParagraph"/>
              <w:numPr>
                <w:ilvl w:val="0"/>
                <w:numId w:val="66"/>
              </w:numPr>
              <w:spacing w:line="276" w:lineRule="auto"/>
              <w:ind w:left="360"/>
              <w:rPr>
                <w:rFonts w:eastAsia="HGSMinchoE" w:cs="Arial"/>
                <w:szCs w:val="24"/>
              </w:rPr>
            </w:pPr>
            <w:r w:rsidRPr="008C7BE5">
              <w:rPr>
                <w:rFonts w:eastAsia="HGSMinchoE" w:cs="Arial"/>
                <w:szCs w:val="24"/>
              </w:rPr>
              <w:t>working with the care home and wider system partners to address challenges the home is facing in coordination with the wider health and care system;</w:t>
            </w:r>
          </w:p>
          <w:p w14:paraId="0028A13D" w14:textId="77777777" w:rsidR="00605DC5" w:rsidRPr="006035C7" w:rsidRDefault="00605DC5" w:rsidP="00561BFE">
            <w:pPr>
              <w:pStyle w:val="ListParagraph"/>
              <w:spacing w:line="276" w:lineRule="auto"/>
              <w:ind w:left="0"/>
              <w:rPr>
                <w:rFonts w:eastAsia="HGSMinchoE" w:cs="Arial"/>
                <w:szCs w:val="24"/>
              </w:rPr>
            </w:pPr>
          </w:p>
          <w:p w14:paraId="66D16679" w14:textId="55FDFAF1" w:rsidR="00605DC5" w:rsidRPr="00320849" w:rsidRDefault="00605DC5" w:rsidP="00561BFE">
            <w:pPr>
              <w:pStyle w:val="ListParagraph"/>
              <w:numPr>
                <w:ilvl w:val="0"/>
                <w:numId w:val="66"/>
              </w:numPr>
              <w:spacing w:line="276" w:lineRule="auto"/>
              <w:ind w:left="360"/>
              <w:rPr>
                <w:rFonts w:cs="Arial"/>
              </w:rPr>
            </w:pPr>
            <w:r w:rsidRPr="008C7BE5">
              <w:rPr>
                <w:rFonts w:eastAsia="HGSMinchoE" w:cs="Arial"/>
                <w:szCs w:val="24"/>
              </w:rPr>
              <w:t>delivering relevant vaccinations for care home staff, in line with the provisions set out in the seasonal influenza DES</w:t>
            </w:r>
            <w:r>
              <w:rPr>
                <w:rFonts w:eastAsia="HGSMinchoE" w:cs="Arial"/>
                <w:szCs w:val="24"/>
              </w:rPr>
              <w:t>.</w:t>
            </w:r>
          </w:p>
        </w:tc>
        <w:tc>
          <w:tcPr>
            <w:tcW w:w="4223" w:type="dxa"/>
          </w:tcPr>
          <w:p w14:paraId="0A5522D3" w14:textId="4220F2A8" w:rsidR="00605DC5" w:rsidRDefault="00605DC5" w:rsidP="00561BFE">
            <w:pPr>
              <w:spacing w:line="276" w:lineRule="auto"/>
            </w:pPr>
            <w:r w:rsidRPr="003B7D3C">
              <w:rPr>
                <w:rFonts w:cs="Arial"/>
              </w:rPr>
              <w:t>Make opportunities for training and shared learning available to care home staff, drawing on existing continued professional development programmes for staff working in community services</w:t>
            </w:r>
            <w:r>
              <w:rPr>
                <w:rFonts w:cs="Arial"/>
              </w:rPr>
              <w:t>.</w:t>
            </w:r>
          </w:p>
        </w:tc>
      </w:tr>
      <w:tr w:rsidR="00605DC5" w14:paraId="6830440E" w14:textId="77777777" w:rsidTr="00605DC5">
        <w:tc>
          <w:tcPr>
            <w:tcW w:w="483" w:type="dxa"/>
          </w:tcPr>
          <w:p w14:paraId="1D5E64F1" w14:textId="6B72E8B3" w:rsidR="00605DC5" w:rsidRDefault="00605DC5" w:rsidP="00561BFE">
            <w:pPr>
              <w:spacing w:line="276" w:lineRule="auto"/>
            </w:pPr>
            <w:r>
              <w:t>1</w:t>
            </w:r>
            <w:r w:rsidR="00561BFE">
              <w:t>1</w:t>
            </w:r>
          </w:p>
        </w:tc>
        <w:tc>
          <w:tcPr>
            <w:tcW w:w="4225" w:type="dxa"/>
          </w:tcPr>
          <w:p w14:paraId="781A57E8" w14:textId="60BF2A22" w:rsidR="00605DC5" w:rsidRDefault="00605DC5" w:rsidP="00561BFE">
            <w:pPr>
              <w:spacing w:line="276" w:lineRule="auto"/>
              <w:rPr>
                <w:rFonts w:cs="Arial"/>
              </w:rPr>
            </w:pPr>
            <w:r>
              <w:t>From no later than 30 September 2020</w:t>
            </w:r>
            <w:r>
              <w:rPr>
                <w:rFonts w:cs="Arial"/>
              </w:rPr>
              <w:t>, working with the CCG to establish</w:t>
            </w:r>
            <w:r w:rsidRPr="00E31065">
              <w:rPr>
                <w:rFonts w:cs="Arial"/>
              </w:rPr>
              <w:t xml:space="preserve"> processes that improve efficient transfer of clinical care between residential homes</w:t>
            </w:r>
            <w:r>
              <w:rPr>
                <w:rFonts w:cs="Arial"/>
              </w:rPr>
              <w:t>,</w:t>
            </w:r>
            <w:r w:rsidRPr="00E31065">
              <w:rPr>
                <w:rFonts w:cs="Arial"/>
              </w:rPr>
              <w:t xml:space="preserve"> nursing homes</w:t>
            </w:r>
            <w:r>
              <w:rPr>
                <w:rFonts w:cs="Arial"/>
              </w:rPr>
              <w:t xml:space="preserve"> and hospices</w:t>
            </w:r>
            <w:r w:rsidRPr="00E31065">
              <w:rPr>
                <w:rFonts w:cs="Arial"/>
              </w:rPr>
              <w:t xml:space="preserve"> and between </w:t>
            </w:r>
            <w:r w:rsidRPr="00E31065">
              <w:rPr>
                <w:rFonts w:cs="Arial"/>
              </w:rPr>
              <w:lastRenderedPageBreak/>
              <w:t>care homes and hospitals</w:t>
            </w:r>
            <w:r>
              <w:rPr>
                <w:rFonts w:cs="Arial"/>
              </w:rPr>
              <w:t>, as described by NICE guidance</w:t>
            </w:r>
            <w:r>
              <w:rPr>
                <w:rStyle w:val="FootnoteReference"/>
                <w:rFonts w:cs="Arial"/>
              </w:rPr>
              <w:footnoteReference w:id="8"/>
            </w:r>
            <w:r>
              <w:rPr>
                <w:rStyle w:val="FootnoteReference"/>
                <w:rFonts w:cs="Arial"/>
              </w:rPr>
              <w:footnoteReference w:id="9"/>
            </w:r>
            <w:r>
              <w:rPr>
                <w:rFonts w:cs="Arial"/>
              </w:rPr>
              <w:t xml:space="preserve">. </w:t>
            </w:r>
            <w:r w:rsidRPr="00E31065">
              <w:rPr>
                <w:rFonts w:cs="Arial"/>
              </w:rPr>
              <w:t xml:space="preserve">  </w:t>
            </w:r>
          </w:p>
          <w:p w14:paraId="25AB4842" w14:textId="77777777" w:rsidR="00605DC5" w:rsidRDefault="00605DC5" w:rsidP="00561BFE">
            <w:pPr>
              <w:spacing w:line="276" w:lineRule="auto"/>
              <w:rPr>
                <w:rFonts w:cs="Arial"/>
              </w:rPr>
            </w:pPr>
          </w:p>
          <w:p w14:paraId="36FFD1E3" w14:textId="77777777" w:rsidR="00605DC5" w:rsidRPr="00DD6EB2" w:rsidRDefault="00605DC5" w:rsidP="00561BFE">
            <w:pPr>
              <w:spacing w:line="276" w:lineRule="auto"/>
              <w:rPr>
                <w:rFonts w:cs="Arial"/>
              </w:rPr>
            </w:pPr>
            <w:r w:rsidRPr="00E31065">
              <w:rPr>
                <w:rFonts w:cs="Arial"/>
              </w:rPr>
              <w:t xml:space="preserve">Facilitate and support local and national initiatives to support </w:t>
            </w:r>
            <w:r w:rsidRPr="0097467A">
              <w:rPr>
                <w:rFonts w:cs="Arial"/>
              </w:rPr>
              <w:t>discharge from hospital</w:t>
            </w:r>
            <w:r>
              <w:rPr>
                <w:rFonts w:cs="Arial"/>
              </w:rPr>
              <w:t xml:space="preserve"> and psychiatric inpatient units</w:t>
            </w:r>
            <w:r w:rsidRPr="0097467A">
              <w:rPr>
                <w:rFonts w:cs="Arial"/>
              </w:rPr>
              <w:t>, such as trusted assessor schemes.</w:t>
            </w:r>
          </w:p>
        </w:tc>
        <w:tc>
          <w:tcPr>
            <w:tcW w:w="4223" w:type="dxa"/>
          </w:tcPr>
          <w:p w14:paraId="0F23B700" w14:textId="20C0547D" w:rsidR="00605DC5" w:rsidRPr="00DD6EB2" w:rsidRDefault="00605DC5" w:rsidP="00561BFE">
            <w:pPr>
              <w:spacing w:line="276" w:lineRule="auto"/>
              <w:rPr>
                <w:rFonts w:cs="Arial"/>
              </w:rPr>
            </w:pPr>
            <w:r>
              <w:lastRenderedPageBreak/>
              <w:t>From no later than 30 September 2020</w:t>
            </w:r>
            <w:r>
              <w:rPr>
                <w:rFonts w:cs="Arial"/>
              </w:rPr>
              <w:t>, s</w:t>
            </w:r>
            <w:r w:rsidRPr="00E31065">
              <w:rPr>
                <w:rFonts w:cs="Arial"/>
              </w:rPr>
              <w:t>upport the development and delivery of transfer of care schemes</w:t>
            </w:r>
            <w:r>
              <w:rPr>
                <w:rFonts w:cs="Arial"/>
              </w:rPr>
              <w:t>.</w:t>
            </w:r>
          </w:p>
        </w:tc>
      </w:tr>
      <w:tr w:rsidR="00605DC5" w14:paraId="380FD901" w14:textId="77777777" w:rsidTr="00605DC5">
        <w:tc>
          <w:tcPr>
            <w:tcW w:w="483" w:type="dxa"/>
          </w:tcPr>
          <w:p w14:paraId="15EB78C8" w14:textId="3256110A" w:rsidR="00605DC5" w:rsidRDefault="00605DC5" w:rsidP="00561BFE">
            <w:pPr>
              <w:spacing w:line="276" w:lineRule="auto"/>
            </w:pPr>
            <w:r>
              <w:t>1</w:t>
            </w:r>
            <w:r w:rsidR="00561BFE">
              <w:t>2</w:t>
            </w:r>
          </w:p>
        </w:tc>
        <w:tc>
          <w:tcPr>
            <w:tcW w:w="4225" w:type="dxa"/>
          </w:tcPr>
          <w:p w14:paraId="3FD5AE61" w14:textId="7A7EAA10" w:rsidR="00605DC5" w:rsidRPr="00DD6EB2" w:rsidRDefault="00605DC5" w:rsidP="00561BFE">
            <w:pPr>
              <w:spacing w:line="276" w:lineRule="auto"/>
              <w:rPr>
                <w:rFonts w:cs="Arial"/>
              </w:rPr>
            </w:pPr>
            <w:r>
              <w:t>From no later than 30 September 2020, establish clear referral routes and information sharing arrangements between care homes, PCNs and out of hours providers and providers of a full range of community-based services including specialist mental health, dietetic, speech &amp; language therapy, palliative care and dementia care.</w:t>
            </w:r>
          </w:p>
        </w:tc>
        <w:tc>
          <w:tcPr>
            <w:tcW w:w="4223" w:type="dxa"/>
          </w:tcPr>
          <w:p w14:paraId="038FA093" w14:textId="0160FB3A" w:rsidR="00605DC5" w:rsidRPr="00DD6EB2" w:rsidRDefault="00605DC5" w:rsidP="00561BFE">
            <w:pPr>
              <w:spacing w:line="276" w:lineRule="auto"/>
              <w:rPr>
                <w:rFonts w:cs="Arial"/>
              </w:rPr>
            </w:pPr>
            <w:r>
              <w:t>From no later than 30 September 2020</w:t>
            </w:r>
            <w:r>
              <w:rPr>
                <w:rFonts w:cs="Arial"/>
              </w:rPr>
              <w:t xml:space="preserve">, support the development of </w:t>
            </w:r>
            <w:r w:rsidRPr="00E31065">
              <w:rPr>
                <w:rFonts w:cs="Arial"/>
              </w:rPr>
              <w:t xml:space="preserve">clear referral routes and information sharing arrangements </w:t>
            </w:r>
            <w:r>
              <w:rPr>
                <w:rFonts w:cs="Arial"/>
              </w:rPr>
              <w:t xml:space="preserve">between the care home and other providers. </w:t>
            </w:r>
          </w:p>
        </w:tc>
      </w:tr>
    </w:tbl>
    <w:p w14:paraId="10C4FAA2" w14:textId="75CBACA4" w:rsidR="006035C7" w:rsidRDefault="006035C7" w:rsidP="00561BFE">
      <w:pPr>
        <w:spacing w:after="0" w:line="276" w:lineRule="auto"/>
      </w:pPr>
    </w:p>
    <w:p w14:paraId="6FCFCEDF" w14:textId="41D42059" w:rsidR="008478F3" w:rsidRDefault="002D6C93" w:rsidP="00561BFE">
      <w:pPr>
        <w:spacing w:after="0" w:line="276" w:lineRule="auto"/>
        <w:rPr>
          <w:b/>
        </w:rPr>
      </w:pPr>
      <w:r>
        <w:rPr>
          <w:b/>
        </w:rPr>
        <w:t xml:space="preserve">Proposed </w:t>
      </w:r>
      <w:r w:rsidR="00C1247B" w:rsidRPr="00C1247B">
        <w:rPr>
          <w:b/>
        </w:rPr>
        <w:t>Metrics</w:t>
      </w:r>
    </w:p>
    <w:p w14:paraId="01E9D0ED" w14:textId="77777777" w:rsidR="00561BFE" w:rsidRPr="00C1247B" w:rsidRDefault="00561BFE" w:rsidP="00561BFE">
      <w:pPr>
        <w:spacing w:after="0" w:line="276" w:lineRule="auto"/>
        <w:rPr>
          <w:b/>
        </w:rPr>
      </w:pPr>
    </w:p>
    <w:p w14:paraId="12403FCB" w14:textId="77777777" w:rsidR="004B2E1F" w:rsidRDefault="004B2E1F" w:rsidP="00561BFE">
      <w:pPr>
        <w:pStyle w:val="ListParagraph"/>
        <w:numPr>
          <w:ilvl w:val="1"/>
          <w:numId w:val="24"/>
        </w:numPr>
        <w:spacing w:line="276" w:lineRule="auto"/>
      </w:pPr>
      <w:r>
        <w:t>Potential metrics to monitor the success of the service include, but are not limited to:</w:t>
      </w:r>
    </w:p>
    <w:p w14:paraId="45DC0F1C" w14:textId="77777777" w:rsidR="00866B53" w:rsidRDefault="00866B53" w:rsidP="00561BFE">
      <w:pPr>
        <w:pStyle w:val="ListParagraph"/>
        <w:spacing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4D76B197" w14:textId="77777777" w:rsidTr="00DE52AD">
        <w:tc>
          <w:tcPr>
            <w:tcW w:w="551" w:type="dxa"/>
            <w:shd w:val="clear" w:color="auto" w:fill="4472C4" w:themeFill="accent1"/>
          </w:tcPr>
          <w:p w14:paraId="263C8023" w14:textId="77777777" w:rsidR="008478F3" w:rsidRDefault="008478F3" w:rsidP="00561BFE">
            <w:pPr>
              <w:pStyle w:val="ListParagraph"/>
              <w:spacing w:line="276" w:lineRule="auto"/>
              <w:ind w:left="0"/>
            </w:pPr>
          </w:p>
        </w:tc>
        <w:tc>
          <w:tcPr>
            <w:tcW w:w="7745" w:type="dxa"/>
            <w:shd w:val="clear" w:color="auto" w:fill="4472C4" w:themeFill="accent1"/>
          </w:tcPr>
          <w:p w14:paraId="7A0C85D2" w14:textId="77777777" w:rsidR="008478F3" w:rsidRPr="008478F3" w:rsidRDefault="008478F3" w:rsidP="00561BFE">
            <w:pPr>
              <w:spacing w:line="276" w:lineRule="auto"/>
              <w:rPr>
                <w:b/>
              </w:rPr>
            </w:pPr>
            <w:r w:rsidRPr="008478F3">
              <w:rPr>
                <w:b/>
              </w:rPr>
              <w:t>Metric description</w:t>
            </w:r>
          </w:p>
        </w:tc>
      </w:tr>
      <w:tr w:rsidR="008478F3" w14:paraId="05ABAA62" w14:textId="77777777" w:rsidTr="00DE52AD">
        <w:tc>
          <w:tcPr>
            <w:tcW w:w="551" w:type="dxa"/>
          </w:tcPr>
          <w:p w14:paraId="5D87C1B3" w14:textId="77777777" w:rsidR="008478F3" w:rsidRDefault="008478F3" w:rsidP="00561BFE">
            <w:pPr>
              <w:pStyle w:val="ListParagraph"/>
              <w:spacing w:line="276" w:lineRule="auto"/>
              <w:ind w:left="0"/>
            </w:pPr>
            <w:r>
              <w:t>1.</w:t>
            </w:r>
          </w:p>
        </w:tc>
        <w:tc>
          <w:tcPr>
            <w:tcW w:w="7745" w:type="dxa"/>
          </w:tcPr>
          <w:p w14:paraId="3C1ED3AF" w14:textId="77777777" w:rsidR="008478F3" w:rsidRDefault="008478F3" w:rsidP="00561BFE">
            <w:pPr>
              <w:pStyle w:val="ListParagraph"/>
              <w:spacing w:line="276" w:lineRule="auto"/>
              <w:ind w:left="0"/>
            </w:pPr>
            <w:r>
              <w:t>The rate of emergency admissions for people living in care homes.</w:t>
            </w:r>
          </w:p>
        </w:tc>
      </w:tr>
      <w:tr w:rsidR="008478F3" w14:paraId="77BDA446" w14:textId="77777777" w:rsidTr="00DE52AD">
        <w:tc>
          <w:tcPr>
            <w:tcW w:w="551" w:type="dxa"/>
          </w:tcPr>
          <w:p w14:paraId="25B421DB" w14:textId="77777777" w:rsidR="008478F3" w:rsidRDefault="008478F3" w:rsidP="00561BFE">
            <w:pPr>
              <w:pStyle w:val="ListParagraph"/>
              <w:spacing w:line="276" w:lineRule="auto"/>
              <w:ind w:left="0"/>
            </w:pPr>
            <w:r>
              <w:t>2.</w:t>
            </w:r>
          </w:p>
        </w:tc>
        <w:tc>
          <w:tcPr>
            <w:tcW w:w="7745" w:type="dxa"/>
          </w:tcPr>
          <w:p w14:paraId="0A83A781" w14:textId="77777777" w:rsidR="008478F3" w:rsidRDefault="008478F3" w:rsidP="00561BFE">
            <w:pPr>
              <w:spacing w:line="276" w:lineRule="auto"/>
            </w:pPr>
            <w:r>
              <w:t>The rate of urgent care attendances for people living in care homes.</w:t>
            </w:r>
          </w:p>
        </w:tc>
      </w:tr>
      <w:tr w:rsidR="008478F3" w14:paraId="2ECA9B6A" w14:textId="77777777" w:rsidTr="00DE52AD">
        <w:tc>
          <w:tcPr>
            <w:tcW w:w="551" w:type="dxa"/>
          </w:tcPr>
          <w:p w14:paraId="41541C46" w14:textId="77777777" w:rsidR="008478F3" w:rsidRDefault="008478F3" w:rsidP="00561BFE">
            <w:pPr>
              <w:pStyle w:val="ListParagraph"/>
              <w:spacing w:line="276" w:lineRule="auto"/>
              <w:ind w:left="0"/>
            </w:pPr>
            <w:r>
              <w:t>3.</w:t>
            </w:r>
          </w:p>
        </w:tc>
        <w:tc>
          <w:tcPr>
            <w:tcW w:w="7745" w:type="dxa"/>
          </w:tcPr>
          <w:p w14:paraId="52CD733C" w14:textId="77777777" w:rsidR="008478F3" w:rsidRPr="008478F3" w:rsidRDefault="008478F3" w:rsidP="00561BFE">
            <w:pPr>
              <w:pStyle w:val="ListParagraph"/>
              <w:spacing w:line="276" w:lineRule="auto"/>
              <w:ind w:left="0"/>
              <w:rPr>
                <w:szCs w:val="24"/>
              </w:rPr>
            </w:pPr>
            <w:r w:rsidRPr="008478F3">
              <w:rPr>
                <w:szCs w:val="24"/>
              </w:rPr>
              <w:t>The proportion of people living in a care home who have a personalised care and support plan in place.</w:t>
            </w:r>
          </w:p>
        </w:tc>
      </w:tr>
      <w:tr w:rsidR="008478F3" w14:paraId="62993410" w14:textId="77777777" w:rsidTr="00DE52AD">
        <w:tc>
          <w:tcPr>
            <w:tcW w:w="551" w:type="dxa"/>
          </w:tcPr>
          <w:p w14:paraId="2DB90A73" w14:textId="77777777" w:rsidR="008478F3" w:rsidRDefault="008478F3" w:rsidP="00561BFE">
            <w:pPr>
              <w:pStyle w:val="ListParagraph"/>
              <w:spacing w:line="276" w:lineRule="auto"/>
              <w:ind w:left="0"/>
            </w:pPr>
            <w:r>
              <w:t>4.</w:t>
            </w:r>
          </w:p>
        </w:tc>
        <w:tc>
          <w:tcPr>
            <w:tcW w:w="7745" w:type="dxa"/>
          </w:tcPr>
          <w:p w14:paraId="2ED2A88F" w14:textId="2418F28C" w:rsidR="008478F3" w:rsidRPr="008478F3" w:rsidRDefault="008478F3" w:rsidP="00561BFE">
            <w:pPr>
              <w:pStyle w:val="ListParagraph"/>
              <w:spacing w:line="276" w:lineRule="auto"/>
              <w:ind w:left="0"/>
              <w:rPr>
                <w:szCs w:val="24"/>
              </w:rPr>
            </w:pPr>
            <w:r w:rsidRPr="008478F3">
              <w:rPr>
                <w:szCs w:val="24"/>
              </w:rPr>
              <w:t xml:space="preserve">The </w:t>
            </w:r>
            <w:r w:rsidR="008961E1">
              <w:rPr>
                <w:szCs w:val="24"/>
              </w:rPr>
              <w:t>number</w:t>
            </w:r>
            <w:r w:rsidR="008961E1" w:rsidRPr="008478F3">
              <w:rPr>
                <w:szCs w:val="24"/>
              </w:rPr>
              <w:t xml:space="preserve"> </w:t>
            </w:r>
            <w:r w:rsidRPr="008478F3">
              <w:rPr>
                <w:szCs w:val="24"/>
              </w:rPr>
              <w:t>of people living in a care home who receive a</w:t>
            </w:r>
            <w:r w:rsidR="008961E1">
              <w:rPr>
                <w:szCs w:val="24"/>
              </w:rPr>
              <w:t>n</w:t>
            </w:r>
            <w:r w:rsidRPr="008478F3">
              <w:rPr>
                <w:szCs w:val="24"/>
              </w:rPr>
              <w:t xml:space="preserve"> </w:t>
            </w:r>
            <w:r w:rsidR="008961E1">
              <w:rPr>
                <w:szCs w:val="24"/>
              </w:rPr>
              <w:t xml:space="preserve">appointment as part of the weekly care home round </w:t>
            </w:r>
          </w:p>
        </w:tc>
      </w:tr>
      <w:tr w:rsidR="008478F3" w14:paraId="00B3AF87" w14:textId="77777777" w:rsidTr="00DE52AD">
        <w:tc>
          <w:tcPr>
            <w:tcW w:w="551" w:type="dxa"/>
          </w:tcPr>
          <w:p w14:paraId="2A6F39E8" w14:textId="77777777" w:rsidR="008478F3" w:rsidRDefault="008478F3" w:rsidP="00561BFE">
            <w:pPr>
              <w:pStyle w:val="ListParagraph"/>
              <w:spacing w:line="276" w:lineRule="auto"/>
              <w:ind w:left="0"/>
            </w:pPr>
            <w:r>
              <w:t>5.</w:t>
            </w:r>
          </w:p>
        </w:tc>
        <w:tc>
          <w:tcPr>
            <w:tcW w:w="7745" w:type="dxa"/>
          </w:tcPr>
          <w:p w14:paraId="080D48EF" w14:textId="1234640D" w:rsidR="008478F3" w:rsidRPr="008478F3" w:rsidRDefault="008478F3" w:rsidP="00561BFE">
            <w:pPr>
              <w:pStyle w:val="ListParagraph"/>
              <w:spacing w:line="276" w:lineRule="auto"/>
              <w:ind w:left="0"/>
              <w:rPr>
                <w:szCs w:val="24"/>
              </w:rPr>
            </w:pPr>
            <w:r w:rsidRPr="008478F3">
              <w:rPr>
                <w:szCs w:val="24"/>
              </w:rPr>
              <w:t xml:space="preserve">The number </w:t>
            </w:r>
            <w:r w:rsidR="00520687">
              <w:rPr>
                <w:szCs w:val="24"/>
              </w:rPr>
              <w:t xml:space="preserve">and proportion </w:t>
            </w:r>
            <w:r w:rsidRPr="008478F3">
              <w:rPr>
                <w:szCs w:val="24"/>
              </w:rPr>
              <w:t>of people living in a care home who receive a structured medication review.</w:t>
            </w:r>
          </w:p>
        </w:tc>
      </w:tr>
      <w:tr w:rsidR="008478F3" w14:paraId="65944553" w14:textId="77777777" w:rsidTr="00DE52AD">
        <w:tc>
          <w:tcPr>
            <w:tcW w:w="551" w:type="dxa"/>
          </w:tcPr>
          <w:p w14:paraId="08617216" w14:textId="77777777" w:rsidR="008478F3" w:rsidRDefault="008478F3" w:rsidP="00561BFE">
            <w:pPr>
              <w:pStyle w:val="ListParagraph"/>
              <w:spacing w:line="276" w:lineRule="auto"/>
              <w:ind w:left="0"/>
            </w:pPr>
            <w:r>
              <w:t>6.</w:t>
            </w:r>
          </w:p>
        </w:tc>
        <w:tc>
          <w:tcPr>
            <w:tcW w:w="7745" w:type="dxa"/>
          </w:tcPr>
          <w:p w14:paraId="1D6277A2" w14:textId="0838D6A7" w:rsidR="008478F3" w:rsidRPr="008478F3" w:rsidRDefault="008478F3" w:rsidP="00561BFE">
            <w:pPr>
              <w:pStyle w:val="ListParagraph"/>
              <w:tabs>
                <w:tab w:val="left" w:pos="1200"/>
              </w:tabs>
              <w:spacing w:line="276" w:lineRule="auto"/>
              <w:ind w:left="0"/>
              <w:rPr>
                <w:szCs w:val="24"/>
              </w:rPr>
            </w:pPr>
            <w:r w:rsidRPr="008478F3">
              <w:rPr>
                <w:rFonts w:cs="Arial"/>
                <w:szCs w:val="24"/>
              </w:rPr>
              <w:t xml:space="preserve">The number </w:t>
            </w:r>
            <w:r w:rsidR="00520687">
              <w:rPr>
                <w:rFonts w:cs="Arial"/>
                <w:szCs w:val="24"/>
              </w:rPr>
              <w:t xml:space="preserve">and proportion </w:t>
            </w:r>
            <w:r w:rsidRPr="008478F3">
              <w:rPr>
                <w:rFonts w:cs="Arial"/>
                <w:szCs w:val="24"/>
              </w:rPr>
              <w:t>of people living in a care home who receive a delirium risk assessment.</w:t>
            </w:r>
          </w:p>
        </w:tc>
      </w:tr>
    </w:tbl>
    <w:p w14:paraId="04345D95" w14:textId="77777777" w:rsidR="008478F3" w:rsidRDefault="008478F3" w:rsidP="007F4028">
      <w:pPr>
        <w:pStyle w:val="ListParagraph"/>
      </w:pPr>
    </w:p>
    <w:p w14:paraId="67F6BF72" w14:textId="77777777" w:rsidR="008478F3" w:rsidRDefault="008478F3" w:rsidP="007F4028">
      <w:pPr>
        <w:pStyle w:val="ListParagraph"/>
      </w:pPr>
    </w:p>
    <w:p w14:paraId="001B599A" w14:textId="77777777" w:rsidR="002D6C93" w:rsidRDefault="002D6C93" w:rsidP="002D6C93">
      <w:pPr>
        <w:pStyle w:val="ListParagraph"/>
      </w:pPr>
    </w:p>
    <w:p w14:paraId="7175A831" w14:textId="6C1D98BF" w:rsidR="008B5308" w:rsidRDefault="00D10EA7" w:rsidP="007305A1">
      <w:pPr>
        <w:tabs>
          <w:tab w:val="left" w:pos="1474"/>
        </w:tabs>
      </w:pPr>
      <w:r>
        <w:tab/>
      </w:r>
      <w:r w:rsidR="008B5308">
        <w:br w:type="page"/>
      </w:r>
    </w:p>
    <w:p w14:paraId="49C26120" w14:textId="77777777" w:rsidR="005E63C1" w:rsidRDefault="005E63C1" w:rsidP="000A0F1E">
      <w:pPr>
        <w:pStyle w:val="Heading1"/>
        <w:numPr>
          <w:ilvl w:val="0"/>
          <w:numId w:val="1"/>
        </w:numPr>
      </w:pPr>
      <w:bookmarkStart w:id="13" w:name="_Toc27473068"/>
      <w:r>
        <w:lastRenderedPageBreak/>
        <w:t>Anticipatory Care</w:t>
      </w:r>
      <w:bookmarkEnd w:id="13"/>
    </w:p>
    <w:p w14:paraId="4114F63F" w14:textId="77777777" w:rsidR="004B2E1F" w:rsidRPr="00E124C5" w:rsidRDefault="004B2E1F" w:rsidP="004B2E1F">
      <w:pPr>
        <w:rPr>
          <w:sz w:val="6"/>
          <w:highlight w:val="yellow"/>
        </w:rPr>
      </w:pPr>
    </w:p>
    <w:p w14:paraId="5C379EC2" w14:textId="08D122EC" w:rsidR="00C1247B" w:rsidRDefault="00C1247B" w:rsidP="00561BFE">
      <w:pPr>
        <w:spacing w:after="0" w:line="276" w:lineRule="auto"/>
        <w:rPr>
          <w:rFonts w:cs="Arial"/>
          <w:b/>
        </w:rPr>
      </w:pPr>
      <w:r w:rsidRPr="00C1247B">
        <w:rPr>
          <w:rFonts w:cs="Arial"/>
          <w:b/>
        </w:rPr>
        <w:t>Introduction</w:t>
      </w:r>
    </w:p>
    <w:p w14:paraId="5A357D6B" w14:textId="77777777" w:rsidR="00561BFE" w:rsidRPr="00C1247B" w:rsidRDefault="00561BFE" w:rsidP="00561BFE">
      <w:pPr>
        <w:spacing w:after="0" w:line="276" w:lineRule="auto"/>
        <w:rPr>
          <w:rFonts w:cs="Arial"/>
          <w:b/>
        </w:rPr>
      </w:pPr>
    </w:p>
    <w:p w14:paraId="5CD26A71" w14:textId="77777777" w:rsidR="004B2E1F" w:rsidRDefault="004B2E1F" w:rsidP="00561BFE">
      <w:pPr>
        <w:pStyle w:val="ListParagraph"/>
        <w:numPr>
          <w:ilvl w:val="1"/>
          <w:numId w:val="31"/>
        </w:numPr>
        <w:spacing w:line="276" w:lineRule="auto"/>
      </w:pPr>
      <w:r w:rsidRPr="00E70094">
        <w:rPr>
          <w:rFonts w:cs="Arial"/>
        </w:rPr>
        <w:t xml:space="preserve">Anticipatory care helps people to live well and independently for longer through </w:t>
      </w:r>
      <w:r>
        <w:t xml:space="preserve">proactive care for those at high risk of unwarranted health outcomes. Typically, this involves structured proactive care and support from a multidisciplinary team (MDT). It </w:t>
      </w:r>
      <w:r w:rsidRPr="00E70094">
        <w:rPr>
          <w:iCs/>
        </w:rPr>
        <w:t xml:space="preserve">focuses on groups of patients with similar characteristics (for example people living with multimorbidity and/or frailty) identified using validated tools (such as the electronic frailty index) supplemented by professional judgement, refined on the basis of their needs and risks (such as falls or social isolation) to create a </w:t>
      </w:r>
      <w:r w:rsidR="005E7A12">
        <w:rPr>
          <w:iCs/>
        </w:rPr>
        <w:t>dynamic list</w:t>
      </w:r>
      <w:r w:rsidR="005E7A12" w:rsidRPr="00E70094">
        <w:rPr>
          <w:iCs/>
        </w:rPr>
        <w:t xml:space="preserve"> </w:t>
      </w:r>
      <w:r w:rsidRPr="00E70094">
        <w:rPr>
          <w:iCs/>
        </w:rPr>
        <w:t>of patients who will be offered  proactive care interventions to improve or sustain their health.</w:t>
      </w:r>
    </w:p>
    <w:p w14:paraId="0F4A5575" w14:textId="77777777" w:rsidR="004B2E1F" w:rsidRDefault="004B2E1F" w:rsidP="00561BFE">
      <w:pPr>
        <w:pStyle w:val="ListParagraph"/>
        <w:spacing w:line="276" w:lineRule="auto"/>
        <w:ind w:left="792"/>
      </w:pPr>
    </w:p>
    <w:p w14:paraId="31BD2C44" w14:textId="66B41E2D" w:rsidR="004B2E1F" w:rsidRDefault="004B2E1F" w:rsidP="00561BFE">
      <w:pPr>
        <w:pStyle w:val="ListParagraph"/>
        <w:numPr>
          <w:ilvl w:val="1"/>
          <w:numId w:val="31"/>
        </w:numPr>
        <w:spacing w:line="276" w:lineRule="auto"/>
      </w:pPr>
      <w:r>
        <w:t xml:space="preserve">It supports the focus on prevention in the </w:t>
      </w:r>
      <w:hyperlink r:id="rId21" w:history="1">
        <w:r>
          <w:rPr>
            <w:rStyle w:val="Hyperlink"/>
          </w:rPr>
          <w:t>Long-Term Plan</w:t>
        </w:r>
      </w:hyperlink>
      <w:r>
        <w:t>, and th</w:t>
      </w:r>
      <w:r w:rsidR="00520687">
        <w:t>e ambition</w:t>
      </w:r>
      <w:r>
        <w:t xml:space="preserve"> </w:t>
      </w:r>
      <w:r w:rsidRPr="00E70094">
        <w:rPr>
          <w:rFonts w:cs="Arial"/>
          <w:color w:val="231F20"/>
          <w:shd w:val="clear" w:color="auto" w:fill="FFFFFF"/>
        </w:rPr>
        <w:t xml:space="preserve">that people can enjoy at least five extra healthy, independent years of life by 2035. </w:t>
      </w:r>
    </w:p>
    <w:p w14:paraId="41580079" w14:textId="77777777" w:rsidR="004B2E1F" w:rsidRDefault="004B2E1F" w:rsidP="00561BFE">
      <w:pPr>
        <w:pStyle w:val="ListParagraph"/>
        <w:spacing w:line="276" w:lineRule="auto"/>
      </w:pPr>
    </w:p>
    <w:p w14:paraId="6816FEA4" w14:textId="1F10E47A" w:rsidR="004B2E1F" w:rsidRDefault="004B2E1F" w:rsidP="00561BFE">
      <w:pPr>
        <w:pStyle w:val="ListParagraph"/>
        <w:numPr>
          <w:ilvl w:val="1"/>
          <w:numId w:val="31"/>
        </w:numPr>
        <w:spacing w:line="276" w:lineRule="auto"/>
      </w:pPr>
      <w:r>
        <w:t>The service has three key aims:</w:t>
      </w:r>
    </w:p>
    <w:p w14:paraId="09481FA3" w14:textId="77777777" w:rsidR="000B4BA6" w:rsidRDefault="000B4BA6" w:rsidP="00561BFE">
      <w:pPr>
        <w:pStyle w:val="ListParagraph"/>
        <w:spacing w:line="276" w:lineRule="auto"/>
      </w:pPr>
    </w:p>
    <w:p w14:paraId="5533CDDE" w14:textId="5BECA4ED" w:rsidR="002D6C93" w:rsidRDefault="004B2E1F" w:rsidP="00561BFE">
      <w:pPr>
        <w:pStyle w:val="ListParagraph"/>
        <w:numPr>
          <w:ilvl w:val="1"/>
          <w:numId w:val="20"/>
        </w:numPr>
        <w:spacing w:line="276" w:lineRule="auto"/>
        <w:ind w:left="1134" w:hanging="414"/>
        <w:rPr>
          <w:rFonts w:cstheme="minorHAnsi"/>
        </w:rPr>
      </w:pPr>
      <w:r w:rsidRPr="002D6C93">
        <w:rPr>
          <w:rFonts w:cstheme="minorHAnsi"/>
        </w:rPr>
        <w:t>Benefitting patients with complex needs, and their carers, who are at risk of unwarranted health outcomes by enabling them to</w:t>
      </w:r>
      <w:r w:rsidR="002D6C93" w:rsidRPr="002D6C93">
        <w:rPr>
          <w:rFonts w:cstheme="minorHAnsi"/>
        </w:rPr>
        <w:t xml:space="preserve"> </w:t>
      </w:r>
      <w:r w:rsidRPr="002D6C93">
        <w:rPr>
          <w:rFonts w:cstheme="minorHAnsi"/>
        </w:rPr>
        <w:t>stay healthier for longer, with maintained or improved functional ability</w:t>
      </w:r>
      <w:r w:rsidR="002D6C93" w:rsidRPr="002D6C93">
        <w:rPr>
          <w:rFonts w:cstheme="minorHAnsi"/>
        </w:rPr>
        <w:t xml:space="preserve"> and </w:t>
      </w:r>
      <w:r w:rsidRPr="002D6C93">
        <w:rPr>
          <w:rFonts w:cstheme="minorHAnsi"/>
        </w:rPr>
        <w:t>enjoy positive experiences of proactive, personalised and self-supported care</w:t>
      </w:r>
      <w:r w:rsidR="00561BFE">
        <w:rPr>
          <w:rFonts w:cstheme="minorHAnsi"/>
        </w:rPr>
        <w:t>.</w:t>
      </w:r>
    </w:p>
    <w:p w14:paraId="520D1BB4" w14:textId="77777777" w:rsidR="00561BFE" w:rsidRDefault="00561BFE" w:rsidP="00561BFE">
      <w:pPr>
        <w:pStyle w:val="ListParagraph"/>
        <w:spacing w:line="276" w:lineRule="auto"/>
        <w:ind w:left="1134"/>
        <w:rPr>
          <w:rFonts w:cstheme="minorHAnsi"/>
        </w:rPr>
      </w:pPr>
    </w:p>
    <w:p w14:paraId="3F6D93E4" w14:textId="207FFE74" w:rsidR="002D6C93" w:rsidRDefault="004B2E1F" w:rsidP="00561BFE">
      <w:pPr>
        <w:pStyle w:val="ListParagraph"/>
        <w:numPr>
          <w:ilvl w:val="1"/>
          <w:numId w:val="20"/>
        </w:numPr>
        <w:spacing w:line="276" w:lineRule="auto"/>
        <w:ind w:left="1134" w:hanging="414"/>
        <w:rPr>
          <w:rFonts w:cstheme="minorHAnsi"/>
        </w:rPr>
      </w:pPr>
      <w:r w:rsidRPr="002D6C93">
        <w:rPr>
          <w:rFonts w:cstheme="minorHAnsi"/>
        </w:rPr>
        <w:t xml:space="preserve">Reducing need for reactive health care for specific groups of </w:t>
      </w:r>
      <w:r w:rsidR="007F4028" w:rsidRPr="002D6C93">
        <w:rPr>
          <w:rFonts w:cstheme="minorHAnsi"/>
        </w:rPr>
        <w:t>patients and</w:t>
      </w:r>
      <w:r w:rsidRPr="002D6C93">
        <w:rPr>
          <w:rFonts w:cstheme="minorHAnsi"/>
        </w:rPr>
        <w:t xml:space="preserve"> supporting actions to address wider determinants of health.</w:t>
      </w:r>
    </w:p>
    <w:p w14:paraId="69516042" w14:textId="77777777" w:rsidR="00561BFE" w:rsidRPr="00561BFE" w:rsidRDefault="00561BFE" w:rsidP="00561BFE">
      <w:pPr>
        <w:spacing w:line="276" w:lineRule="auto"/>
        <w:rPr>
          <w:rFonts w:cstheme="minorHAnsi"/>
        </w:rPr>
      </w:pPr>
    </w:p>
    <w:p w14:paraId="69CF6E4A" w14:textId="77777777" w:rsidR="004B2E1F" w:rsidRPr="002D6C93" w:rsidRDefault="004B2E1F" w:rsidP="00561BFE">
      <w:pPr>
        <w:pStyle w:val="ListParagraph"/>
        <w:numPr>
          <w:ilvl w:val="1"/>
          <w:numId w:val="20"/>
        </w:numPr>
        <w:spacing w:line="276" w:lineRule="auto"/>
        <w:ind w:left="1134" w:hanging="414"/>
        <w:rPr>
          <w:rFonts w:cstheme="minorHAnsi"/>
        </w:rPr>
      </w:pPr>
      <w:r w:rsidRPr="002D6C93">
        <w:rPr>
          <w:rFonts w:cstheme="minorHAnsi"/>
        </w:rPr>
        <w:t>Delivering better interconnectedness between all parts of the health system and the voluntary and social care sectors</w:t>
      </w:r>
    </w:p>
    <w:p w14:paraId="55C6EC44" w14:textId="77777777" w:rsidR="004B2E1F" w:rsidRDefault="004B2E1F" w:rsidP="00561BFE">
      <w:pPr>
        <w:pStyle w:val="ListParagraph"/>
        <w:spacing w:line="276" w:lineRule="auto"/>
        <w:rPr>
          <w:rFonts w:cs="Arial"/>
        </w:rPr>
      </w:pPr>
    </w:p>
    <w:p w14:paraId="4B62CF4F" w14:textId="09E31F4D" w:rsidR="004B2E1F" w:rsidRPr="00561BFE" w:rsidRDefault="004B2E1F" w:rsidP="00561BFE">
      <w:pPr>
        <w:pStyle w:val="ListParagraph"/>
        <w:numPr>
          <w:ilvl w:val="1"/>
          <w:numId w:val="31"/>
        </w:numPr>
        <w:spacing w:line="276" w:lineRule="auto"/>
      </w:pPr>
      <w:r w:rsidRPr="00E70094">
        <w:rPr>
          <w:rFonts w:cs="Arial"/>
        </w:rPr>
        <w:t>These aims will be achieved through a combination of:</w:t>
      </w:r>
    </w:p>
    <w:p w14:paraId="693480AC" w14:textId="77777777" w:rsidR="00561BFE" w:rsidRDefault="00561BFE" w:rsidP="00561BFE">
      <w:pPr>
        <w:pStyle w:val="ListParagraph"/>
        <w:spacing w:line="276" w:lineRule="auto"/>
        <w:ind w:left="567"/>
      </w:pPr>
    </w:p>
    <w:p w14:paraId="28B7E50A" w14:textId="6B4E43F0" w:rsidR="004B2E1F" w:rsidRDefault="004B2E1F" w:rsidP="00561BFE">
      <w:pPr>
        <w:pStyle w:val="ListParagraph"/>
        <w:numPr>
          <w:ilvl w:val="2"/>
          <w:numId w:val="19"/>
        </w:numPr>
        <w:tabs>
          <w:tab w:val="left" w:pos="1985"/>
        </w:tabs>
        <w:spacing w:line="276" w:lineRule="auto"/>
        <w:rPr>
          <w:rFonts w:cs="Arial"/>
        </w:rPr>
      </w:pPr>
      <w:r>
        <w:rPr>
          <w:rFonts w:cs="Arial"/>
        </w:rPr>
        <w:t>population segmentation, followed by risk stratification and clinical judgement, to identify people who would benefit most</w:t>
      </w:r>
      <w:r w:rsidR="00561BFE">
        <w:rPr>
          <w:rFonts w:cs="Arial"/>
        </w:rPr>
        <w:t>;</w:t>
      </w:r>
      <w:r>
        <w:rPr>
          <w:rFonts w:cs="Arial"/>
        </w:rPr>
        <w:t xml:space="preserve"> and</w:t>
      </w:r>
    </w:p>
    <w:p w14:paraId="12828BD8" w14:textId="77777777" w:rsidR="00561BFE" w:rsidRDefault="00561BFE" w:rsidP="00561BFE">
      <w:pPr>
        <w:pStyle w:val="ListParagraph"/>
        <w:tabs>
          <w:tab w:val="left" w:pos="1985"/>
        </w:tabs>
        <w:spacing w:line="276" w:lineRule="auto"/>
        <w:ind w:left="1224"/>
        <w:rPr>
          <w:rFonts w:cs="Arial"/>
        </w:rPr>
      </w:pPr>
    </w:p>
    <w:p w14:paraId="31DA7438" w14:textId="77777777" w:rsidR="004B2E1F" w:rsidRDefault="004B2E1F" w:rsidP="00561BFE">
      <w:pPr>
        <w:pStyle w:val="ListParagraph"/>
        <w:numPr>
          <w:ilvl w:val="2"/>
          <w:numId w:val="19"/>
        </w:numPr>
        <w:tabs>
          <w:tab w:val="left" w:pos="1985"/>
        </w:tabs>
        <w:spacing w:line="276" w:lineRule="auto"/>
        <w:rPr>
          <w:rFonts w:cs="Arial"/>
        </w:rPr>
      </w:pPr>
      <w:r>
        <w:rPr>
          <w:rFonts w:cs="Arial"/>
        </w:rPr>
        <w:t xml:space="preserve">multi-disciplinary primary and community teams, including social care and the voluntary sector working together.  </w:t>
      </w:r>
    </w:p>
    <w:p w14:paraId="24A95C0A" w14:textId="77777777" w:rsidR="00685719" w:rsidRPr="00714A4F" w:rsidRDefault="00685719" w:rsidP="00561BFE">
      <w:pPr>
        <w:tabs>
          <w:tab w:val="left" w:pos="1985"/>
        </w:tabs>
        <w:spacing w:after="0" w:line="276" w:lineRule="auto"/>
        <w:rPr>
          <w:rFonts w:cs="Arial"/>
        </w:rPr>
      </w:pPr>
    </w:p>
    <w:p w14:paraId="103CC15B" w14:textId="2531F6DF" w:rsidR="00685719" w:rsidRDefault="00685719" w:rsidP="00561BFE">
      <w:pPr>
        <w:pStyle w:val="ListParagraph"/>
        <w:numPr>
          <w:ilvl w:val="1"/>
          <w:numId w:val="31"/>
        </w:numPr>
        <w:spacing w:line="276" w:lineRule="auto"/>
      </w:pPr>
      <w:r w:rsidRPr="00E70094">
        <w:rPr>
          <w:rFonts w:cs="Arial"/>
        </w:rPr>
        <w:t xml:space="preserve">Anticipatory care is intrinsically linked to population health management models </w:t>
      </w:r>
      <w:r>
        <w:rPr>
          <w:rFonts w:cs="Arial"/>
        </w:rPr>
        <w:t xml:space="preserve">developing and already in place </w:t>
      </w:r>
      <w:r w:rsidRPr="00E70094">
        <w:rPr>
          <w:rFonts w:cs="Arial"/>
        </w:rPr>
        <w:t>in systems across the country</w:t>
      </w:r>
      <w:r>
        <w:rPr>
          <w:rFonts w:cs="Arial"/>
        </w:rPr>
        <w:t xml:space="preserve">. </w:t>
      </w:r>
      <w:r>
        <w:t>The service focuses</w:t>
      </w:r>
      <w:r w:rsidRPr="006B3491">
        <w:t xml:space="preserve"> on the “rising risk population”</w:t>
      </w:r>
      <w:r>
        <w:t xml:space="preserve">, comprising </w:t>
      </w:r>
      <w:r w:rsidRPr="006B3491">
        <w:t xml:space="preserve">those with </w:t>
      </w:r>
      <w:r>
        <w:t xml:space="preserve">multiple </w:t>
      </w:r>
      <w:r w:rsidRPr="006B3491">
        <w:t>long</w:t>
      </w:r>
      <w:r>
        <w:t>-</w:t>
      </w:r>
      <w:r w:rsidRPr="006B3491">
        <w:t>term conditions</w:t>
      </w:r>
      <w:r>
        <w:t xml:space="preserve"> and/or frailty</w:t>
      </w:r>
      <w:r w:rsidRPr="006B3491">
        <w:t xml:space="preserve">, </w:t>
      </w:r>
      <w:r>
        <w:t xml:space="preserve">who may </w:t>
      </w:r>
      <w:r w:rsidRPr="006B3491">
        <w:t xml:space="preserve">have underlying risk factors like </w:t>
      </w:r>
      <w:r>
        <w:t>unhealthy</w:t>
      </w:r>
      <w:r w:rsidRPr="006B3491">
        <w:t xml:space="preserve"> </w:t>
      </w:r>
      <w:r w:rsidRPr="006B3491">
        <w:lastRenderedPageBreak/>
        <w:t>lifestyle</w:t>
      </w:r>
      <w:r>
        <w:t>s</w:t>
      </w:r>
      <w:r w:rsidRPr="006B3491">
        <w:t xml:space="preserve">, behavioural </w:t>
      </w:r>
      <w:r w:rsidR="00E60901">
        <w:t>risks</w:t>
      </w:r>
      <w:r w:rsidRPr="006B3491">
        <w:t xml:space="preserve">, </w:t>
      </w:r>
      <w:r>
        <w:t>social isolation or poor housing</w:t>
      </w:r>
      <w:r w:rsidRPr="006B3491">
        <w:t>. Addressing many of these risk factors will require non-</w:t>
      </w:r>
      <w:r>
        <w:t>clinical</w:t>
      </w:r>
      <w:r w:rsidRPr="006B3491">
        <w:t xml:space="preserve"> interventions</w:t>
      </w:r>
      <w:r>
        <w:t xml:space="preserve"> and </w:t>
      </w:r>
      <w:r w:rsidRPr="006B3491">
        <w:t>strong working relationships with local voluntary, community and civic groups, as well as system public health teams.</w:t>
      </w:r>
    </w:p>
    <w:p w14:paraId="05D26BBF" w14:textId="77777777" w:rsidR="00377A1A" w:rsidRDefault="00377A1A" w:rsidP="00561BFE">
      <w:pPr>
        <w:pStyle w:val="ListParagraph"/>
        <w:spacing w:line="276" w:lineRule="auto"/>
        <w:ind w:left="567"/>
      </w:pPr>
    </w:p>
    <w:p w14:paraId="747C2DE3" w14:textId="24BA5755" w:rsidR="00714A4F" w:rsidRDefault="00714A4F" w:rsidP="00561BFE">
      <w:pPr>
        <w:pStyle w:val="ListParagraph"/>
        <w:numPr>
          <w:ilvl w:val="1"/>
          <w:numId w:val="31"/>
        </w:numPr>
        <w:tabs>
          <w:tab w:val="left" w:pos="1418"/>
        </w:tabs>
        <w:spacing w:line="276" w:lineRule="auto"/>
      </w:pPr>
      <w:r>
        <w:t>In future years we will establish a standardised approach to the identification of individuals to receive the service. There is a range of approaches currently in place across the country, and the evidence base is still developing</w:t>
      </w:r>
      <w:r w:rsidRPr="00C1247B">
        <w:t xml:space="preserve">. </w:t>
      </w:r>
      <w:r>
        <w:t xml:space="preserve">2020/21 therefore </w:t>
      </w:r>
      <w:r w:rsidRPr="00C1247B">
        <w:t>represent</w:t>
      </w:r>
      <w:r>
        <w:t>s</w:t>
      </w:r>
      <w:r w:rsidRPr="00C1247B">
        <w:t xml:space="preserve"> an opportunity to </w:t>
      </w:r>
      <w:r>
        <w:t xml:space="preserve">build and </w:t>
      </w:r>
      <w:r w:rsidRPr="00C1247B">
        <w:t>embed ways of working and service models which will</w:t>
      </w:r>
      <w:r>
        <w:t xml:space="preserve"> expand and develop in future years</w:t>
      </w:r>
      <w:r w:rsidRPr="00C1247B">
        <w:t>.</w:t>
      </w:r>
      <w:r>
        <w:t xml:space="preserve"> We will continue to monitor outcomes from different local </w:t>
      </w:r>
      <w:proofErr w:type="gramStart"/>
      <w:r>
        <w:t>approaches, and</w:t>
      </w:r>
      <w:proofErr w:type="gramEnd"/>
      <w:r>
        <w:t xml:space="preserve"> would welcome submissions of evidence where these have been successful.</w:t>
      </w:r>
    </w:p>
    <w:p w14:paraId="0E7B3176" w14:textId="77777777" w:rsidR="000B4BA6" w:rsidRDefault="000B4BA6" w:rsidP="00561BFE">
      <w:pPr>
        <w:pStyle w:val="ListParagraph"/>
        <w:spacing w:line="276" w:lineRule="auto"/>
      </w:pPr>
    </w:p>
    <w:p w14:paraId="5AF963CF" w14:textId="77777777" w:rsidR="00685719" w:rsidRPr="00E5688F" w:rsidRDefault="00685719" w:rsidP="00561BFE">
      <w:pPr>
        <w:spacing w:after="0" w:line="276" w:lineRule="auto"/>
      </w:pPr>
      <w:r w:rsidRPr="003F5F88">
        <w:rPr>
          <w:rFonts w:cs="Arial"/>
          <w:b/>
        </w:rPr>
        <w:t>Existing provision and available support for PCNs</w:t>
      </w:r>
    </w:p>
    <w:p w14:paraId="2C76F044" w14:textId="77777777" w:rsidR="00377A1A" w:rsidRDefault="00377A1A" w:rsidP="00561BFE">
      <w:pPr>
        <w:pStyle w:val="ListParagraph"/>
        <w:spacing w:line="276" w:lineRule="auto"/>
        <w:ind w:left="567"/>
      </w:pPr>
      <w:bookmarkStart w:id="14" w:name="_Hlk23205713"/>
      <w:bookmarkStart w:id="15" w:name="_Hlk19186664"/>
    </w:p>
    <w:p w14:paraId="69EC220A" w14:textId="77777777" w:rsidR="00377A1A" w:rsidRPr="00685719" w:rsidRDefault="00377A1A" w:rsidP="00561BFE">
      <w:pPr>
        <w:pStyle w:val="ListParagraph"/>
        <w:numPr>
          <w:ilvl w:val="1"/>
          <w:numId w:val="31"/>
        </w:numPr>
        <w:spacing w:line="276" w:lineRule="auto"/>
      </w:pPr>
      <w:r w:rsidRPr="00685719">
        <w:rPr>
          <w:rFonts w:cs="Arial"/>
        </w:rPr>
        <w:t>Population health management</w:t>
      </w:r>
      <w:r>
        <w:rPr>
          <w:rFonts w:cs="Arial"/>
        </w:rPr>
        <w:t xml:space="preserve"> (PHM)</w:t>
      </w:r>
      <w:r w:rsidRPr="00685719">
        <w:rPr>
          <w:rFonts w:cs="Arial"/>
        </w:rPr>
        <w:t xml:space="preserve"> tools </w:t>
      </w:r>
      <w:r>
        <w:rPr>
          <w:rFonts w:cs="Arial"/>
        </w:rPr>
        <w:t xml:space="preserve">that </w:t>
      </w:r>
      <w:r w:rsidR="00714A4F">
        <w:rPr>
          <w:rFonts w:cs="Arial"/>
        </w:rPr>
        <w:t>can</w:t>
      </w:r>
      <w:r>
        <w:rPr>
          <w:rFonts w:cs="Arial"/>
        </w:rPr>
        <w:t xml:space="preserve"> support risk stratification are already in place in a number of areas across the country. They are usually</w:t>
      </w:r>
      <w:r w:rsidRPr="00685719">
        <w:rPr>
          <w:rFonts w:cs="Arial"/>
        </w:rPr>
        <w:t xml:space="preserve"> hosted by ICSs but drawing on data from MDTs based across PCNs and community service providers</w:t>
      </w:r>
      <w:r>
        <w:rPr>
          <w:rFonts w:cs="Arial"/>
        </w:rPr>
        <w:t xml:space="preserve">. PHM tools </w:t>
      </w:r>
      <w:r w:rsidRPr="00685719">
        <w:rPr>
          <w:rFonts w:cs="Arial"/>
        </w:rPr>
        <w:t xml:space="preserve">will predict and identify patients who are at risk of adverse health outcomes, and the particular interventions that would support them to remain healthy. </w:t>
      </w:r>
    </w:p>
    <w:p w14:paraId="22E2C276" w14:textId="77777777" w:rsidR="00377A1A" w:rsidRDefault="00377A1A" w:rsidP="00561BFE">
      <w:pPr>
        <w:pStyle w:val="ListParagraph"/>
        <w:spacing w:line="276" w:lineRule="auto"/>
      </w:pPr>
    </w:p>
    <w:p w14:paraId="704AE0C3" w14:textId="77777777" w:rsidR="00377A1A" w:rsidRDefault="00377A1A" w:rsidP="00561BFE">
      <w:pPr>
        <w:pStyle w:val="ListParagraph"/>
        <w:numPr>
          <w:ilvl w:val="1"/>
          <w:numId w:val="31"/>
        </w:numPr>
        <w:spacing w:line="276" w:lineRule="auto"/>
      </w:pPr>
      <w:r>
        <w:t>The first year of the service is predominately a preparatory year, with target populations to be agreed by the PCN through discussion with their CCG and their ICS/STP. CCGs and ICSs will support PCNs by sharing information and access to risk stratification tools successfully in use that could be used by PCNs</w:t>
      </w:r>
    </w:p>
    <w:p w14:paraId="039D8604" w14:textId="77777777" w:rsidR="00377A1A" w:rsidRDefault="00377A1A" w:rsidP="00561BFE">
      <w:pPr>
        <w:pStyle w:val="ListParagraph"/>
        <w:spacing w:line="276" w:lineRule="auto"/>
      </w:pPr>
    </w:p>
    <w:p w14:paraId="4D2AED97" w14:textId="77777777" w:rsidR="00685719" w:rsidRDefault="004B2E1F" w:rsidP="00561BFE">
      <w:pPr>
        <w:pStyle w:val="ListParagraph"/>
        <w:numPr>
          <w:ilvl w:val="1"/>
          <w:numId w:val="31"/>
        </w:numPr>
        <w:spacing w:line="276" w:lineRule="auto"/>
      </w:pPr>
      <w:r>
        <w:t>General practices</w:t>
      </w:r>
      <w:r w:rsidRPr="006B3491">
        <w:t xml:space="preserve"> already </w:t>
      </w:r>
      <w:r>
        <w:t>have</w:t>
      </w:r>
      <w:r w:rsidRPr="006B3491">
        <w:t xml:space="preserve"> a unique understanding of the health needs of the communities </w:t>
      </w:r>
      <w:bookmarkEnd w:id="14"/>
      <w:r w:rsidRPr="006B3491">
        <w:t>they serv</w:t>
      </w:r>
      <w:r w:rsidR="00377A1A">
        <w:t>e</w:t>
      </w:r>
      <w:r>
        <w:t>. B</w:t>
      </w:r>
      <w:r w:rsidRPr="006B3491">
        <w:t xml:space="preserve">y joining together health and social care </w:t>
      </w:r>
      <w:r>
        <w:t xml:space="preserve">information </w:t>
      </w:r>
      <w:r w:rsidRPr="006B3491">
        <w:t xml:space="preserve">with </w:t>
      </w:r>
      <w:r>
        <w:t xml:space="preserve">other </w:t>
      </w:r>
      <w:r w:rsidRPr="006B3491">
        <w:t>information from wider public sources like housing and education, and applying predictive modelling techniques, PCNs</w:t>
      </w:r>
      <w:r w:rsidR="00377A1A">
        <w:t xml:space="preserve"> have the opportunity to</w:t>
      </w:r>
      <w:r w:rsidRPr="006B3491">
        <w:t xml:space="preserve"> </w:t>
      </w:r>
      <w:r>
        <w:t>draw on deeper intelligence to better understanding</w:t>
      </w:r>
      <w:r w:rsidRPr="006B3491">
        <w:t xml:space="preserve"> which </w:t>
      </w:r>
      <w:r>
        <w:t>people</w:t>
      </w:r>
      <w:r w:rsidRPr="006B3491">
        <w:t xml:space="preserve"> </w:t>
      </w:r>
      <w:r>
        <w:t>in their areas</w:t>
      </w:r>
      <w:r w:rsidRPr="006B3491">
        <w:t xml:space="preserve"> might benefit from more targeted and proactive care.  </w:t>
      </w:r>
    </w:p>
    <w:p w14:paraId="02E9A528" w14:textId="77777777" w:rsidR="00685719" w:rsidRPr="00685719" w:rsidRDefault="00685719" w:rsidP="00561BFE">
      <w:pPr>
        <w:pStyle w:val="ListParagraph"/>
        <w:spacing w:line="276" w:lineRule="auto"/>
        <w:rPr>
          <w:rFonts w:cs="Arial"/>
        </w:rPr>
      </w:pPr>
    </w:p>
    <w:p w14:paraId="5871A734" w14:textId="77612BA7" w:rsidR="004B2E1F" w:rsidRDefault="002D6C93" w:rsidP="00561BFE">
      <w:pPr>
        <w:spacing w:after="0" w:line="276" w:lineRule="auto"/>
        <w:rPr>
          <w:b/>
        </w:rPr>
      </w:pPr>
      <w:r>
        <w:rPr>
          <w:b/>
        </w:rPr>
        <w:t>Proposed phasing of objectives from 2020/21 to 2023/24</w:t>
      </w:r>
    </w:p>
    <w:p w14:paraId="65D49D07" w14:textId="77777777" w:rsidR="00561BFE" w:rsidRDefault="00561BFE" w:rsidP="00561BFE">
      <w:pPr>
        <w:spacing w:after="0" w:line="276" w:lineRule="auto"/>
        <w:rPr>
          <w:b/>
        </w:rPr>
      </w:pPr>
    </w:p>
    <w:p w14:paraId="1B284E29" w14:textId="6DB222A6" w:rsidR="006B1D31" w:rsidRDefault="002762AB" w:rsidP="00561BFE">
      <w:pPr>
        <w:pStyle w:val="ListParagraph"/>
        <w:numPr>
          <w:ilvl w:val="1"/>
          <w:numId w:val="31"/>
        </w:numPr>
        <w:spacing w:line="276" w:lineRule="auto"/>
      </w:pPr>
      <w:r>
        <w:t>By</w:t>
      </w:r>
      <w:r w:rsidR="006B1D31">
        <w:t xml:space="preserve"> 2023/24, we expect all PCNs and community service providers – working together – to offer an Anticipatory Care </w:t>
      </w:r>
      <w:r w:rsidR="000B4BA6">
        <w:t>model</w:t>
      </w:r>
      <w:r w:rsidR="006B1D31">
        <w:t xml:space="preserve"> based on the following components:</w:t>
      </w:r>
    </w:p>
    <w:p w14:paraId="744B4452" w14:textId="77777777" w:rsidR="006A79D6" w:rsidRDefault="006A79D6" w:rsidP="00561BFE">
      <w:pPr>
        <w:pStyle w:val="ListParagraph"/>
        <w:spacing w:line="276" w:lineRule="auto"/>
        <w:ind w:left="567"/>
      </w:pPr>
    </w:p>
    <w:p w14:paraId="0688FE4B" w14:textId="77777777" w:rsidR="00565E91" w:rsidRDefault="00CE6A32" w:rsidP="00561BFE">
      <w:pPr>
        <w:pStyle w:val="ListParagraph"/>
        <w:numPr>
          <w:ilvl w:val="0"/>
          <w:numId w:val="28"/>
        </w:numPr>
        <w:tabs>
          <w:tab w:val="left" w:pos="1418"/>
        </w:tabs>
        <w:spacing w:line="276" w:lineRule="auto"/>
        <w:rPr>
          <w:rFonts w:cs="Arial"/>
        </w:rPr>
      </w:pPr>
      <w:r w:rsidRPr="004674CF">
        <w:rPr>
          <w:rFonts w:cstheme="minorHAnsi"/>
          <w:b/>
        </w:rPr>
        <w:t>Identif</w:t>
      </w:r>
      <w:r w:rsidR="00565E91">
        <w:rPr>
          <w:rFonts w:cstheme="minorHAnsi"/>
          <w:b/>
        </w:rPr>
        <w:t>ication of</w:t>
      </w:r>
      <w:r w:rsidRPr="004674CF">
        <w:rPr>
          <w:rFonts w:cstheme="minorHAnsi"/>
          <w:b/>
        </w:rPr>
        <w:t xml:space="preserve"> </w:t>
      </w:r>
      <w:r w:rsidR="00565E91">
        <w:rPr>
          <w:rFonts w:cstheme="minorHAnsi"/>
          <w:b/>
        </w:rPr>
        <w:t xml:space="preserve">specified </w:t>
      </w:r>
      <w:r w:rsidRPr="004674CF">
        <w:rPr>
          <w:rFonts w:cstheme="minorHAnsi"/>
          <w:b/>
        </w:rPr>
        <w:t xml:space="preserve">key segments of the PCN’s registered practice populations who have complex needs and are </w:t>
      </w:r>
      <w:r w:rsidRPr="004674CF">
        <w:rPr>
          <w:rFonts w:cs="Arial"/>
          <w:b/>
        </w:rPr>
        <w:t>at high risk of unwarranted health outcomes</w:t>
      </w:r>
      <w:r w:rsidRPr="00565E91">
        <w:rPr>
          <w:rFonts w:cs="Arial"/>
          <w:b/>
        </w:rPr>
        <w:t>.</w:t>
      </w:r>
      <w:r w:rsidR="00565E91" w:rsidRPr="004674CF">
        <w:rPr>
          <w:rFonts w:cs="Arial"/>
        </w:rPr>
        <w:t xml:space="preserve"> </w:t>
      </w:r>
    </w:p>
    <w:p w14:paraId="50904A81" w14:textId="77777777" w:rsidR="00565E91" w:rsidRDefault="00565E91" w:rsidP="00561BFE">
      <w:pPr>
        <w:pStyle w:val="ListParagraph"/>
        <w:tabs>
          <w:tab w:val="left" w:pos="1418"/>
        </w:tabs>
        <w:spacing w:line="276" w:lineRule="auto"/>
        <w:ind w:left="360"/>
        <w:rPr>
          <w:rFonts w:cs="Arial"/>
        </w:rPr>
      </w:pPr>
    </w:p>
    <w:p w14:paraId="4A8706BD" w14:textId="77777777" w:rsidR="006A79D6" w:rsidRDefault="00565E91" w:rsidP="00561BFE">
      <w:pPr>
        <w:pStyle w:val="ListParagraph"/>
        <w:tabs>
          <w:tab w:val="left" w:pos="1418"/>
        </w:tabs>
        <w:spacing w:line="276" w:lineRule="auto"/>
        <w:ind w:left="709"/>
        <w:rPr>
          <w:rFonts w:cs="Arial"/>
        </w:rPr>
      </w:pPr>
      <w:r w:rsidRPr="00565E91">
        <w:rPr>
          <w:rFonts w:cs="Arial"/>
        </w:rPr>
        <w:t xml:space="preserve">Population health management tools – hosted by ICSs but drawing on data from MDTs based across PCNs and community service providers – will predict and identify patients </w:t>
      </w:r>
      <w:r w:rsidRPr="00065FA8">
        <w:rPr>
          <w:rFonts w:cs="Arial"/>
        </w:rPr>
        <w:t>who are at risk of adverse health outcomes</w:t>
      </w:r>
      <w:r>
        <w:rPr>
          <w:rFonts w:cs="Arial"/>
        </w:rPr>
        <w:t xml:space="preserve">, and the particular interventions that would support them to remain healthy. </w:t>
      </w:r>
    </w:p>
    <w:p w14:paraId="391A4C43" w14:textId="77777777" w:rsidR="006A79D6" w:rsidRDefault="006A79D6" w:rsidP="00561BFE">
      <w:pPr>
        <w:pStyle w:val="ListParagraph"/>
        <w:tabs>
          <w:tab w:val="left" w:pos="1418"/>
        </w:tabs>
        <w:spacing w:line="276" w:lineRule="auto"/>
        <w:ind w:left="709"/>
        <w:rPr>
          <w:rFonts w:cs="Arial"/>
        </w:rPr>
      </w:pPr>
    </w:p>
    <w:p w14:paraId="40EC8ABE" w14:textId="77777777" w:rsidR="00FB494F" w:rsidRPr="006A79D6" w:rsidRDefault="00FB494F" w:rsidP="00561BFE">
      <w:pPr>
        <w:pStyle w:val="ListParagraph"/>
        <w:tabs>
          <w:tab w:val="left" w:pos="1418"/>
        </w:tabs>
        <w:spacing w:line="276" w:lineRule="auto"/>
        <w:ind w:left="709"/>
        <w:rPr>
          <w:rFonts w:cs="Arial"/>
        </w:rPr>
      </w:pPr>
      <w:r w:rsidRPr="006A79D6">
        <w:rPr>
          <w:rFonts w:cs="Arial"/>
        </w:rPr>
        <w:t xml:space="preserve">Over time, as population health management tools are validated for increasing cohorts, this will mean a reduction in the need for additional manual segmentation and stratification of the identified patients. By 2023/24, PCNs and community service providers will access, interrogate </w:t>
      </w:r>
      <w:r w:rsidRPr="008E3A21">
        <w:rPr>
          <w:rFonts w:cs="Arial"/>
        </w:rPr>
        <w:t xml:space="preserve">and filter a list of </w:t>
      </w:r>
      <w:r w:rsidR="00565E91" w:rsidRPr="00065FA8">
        <w:rPr>
          <w:rFonts w:cs="Arial"/>
        </w:rPr>
        <w:t>which individuals are most likely to benefit from different health and care interventions</w:t>
      </w:r>
      <w:r w:rsidRPr="006A79D6">
        <w:rPr>
          <w:rFonts w:cs="Arial"/>
        </w:rPr>
        <w:t>.</w:t>
      </w:r>
    </w:p>
    <w:p w14:paraId="4D938426" w14:textId="77777777" w:rsidR="00FB494F" w:rsidRDefault="00FB494F" w:rsidP="00561BFE">
      <w:pPr>
        <w:pStyle w:val="ListParagraph"/>
        <w:tabs>
          <w:tab w:val="left" w:pos="1418"/>
        </w:tabs>
        <w:spacing w:line="276" w:lineRule="auto"/>
        <w:ind w:left="360"/>
        <w:rPr>
          <w:rFonts w:cs="Arial"/>
        </w:rPr>
      </w:pPr>
    </w:p>
    <w:p w14:paraId="2F417993" w14:textId="77777777" w:rsidR="006A79D6" w:rsidRDefault="00FB494F" w:rsidP="00561BFE">
      <w:pPr>
        <w:pStyle w:val="ListParagraph"/>
        <w:numPr>
          <w:ilvl w:val="0"/>
          <w:numId w:val="28"/>
        </w:numPr>
        <w:tabs>
          <w:tab w:val="left" w:pos="1418"/>
        </w:tabs>
        <w:spacing w:line="276" w:lineRule="auto"/>
        <w:rPr>
          <w:rFonts w:cstheme="minorHAnsi"/>
          <w:b/>
        </w:rPr>
      </w:pPr>
      <w:r w:rsidRPr="00FB494F">
        <w:rPr>
          <w:rFonts w:cstheme="minorHAnsi"/>
          <w:b/>
        </w:rPr>
        <w:t xml:space="preserve">Maintenance of a </w:t>
      </w:r>
      <w:r w:rsidRPr="00065FA8">
        <w:rPr>
          <w:rFonts w:cstheme="minorHAnsi"/>
          <w:b/>
        </w:rPr>
        <w:t xml:space="preserve">comprehensive </w:t>
      </w:r>
      <w:r w:rsidR="005E7A12">
        <w:rPr>
          <w:rFonts w:cstheme="minorHAnsi"/>
          <w:b/>
        </w:rPr>
        <w:t>and dynamic list</w:t>
      </w:r>
      <w:r w:rsidR="005E7A12" w:rsidRPr="00065FA8">
        <w:rPr>
          <w:rFonts w:cstheme="minorHAnsi"/>
          <w:b/>
        </w:rPr>
        <w:t xml:space="preserve"> </w:t>
      </w:r>
      <w:r w:rsidRPr="00065FA8">
        <w:rPr>
          <w:rFonts w:cstheme="minorHAnsi"/>
          <w:b/>
        </w:rPr>
        <w:t xml:space="preserve">of identified individuals who </w:t>
      </w:r>
      <w:r w:rsidR="00D427B5">
        <w:rPr>
          <w:rFonts w:cstheme="minorHAnsi"/>
          <w:b/>
        </w:rPr>
        <w:t>would benefit from</w:t>
      </w:r>
      <w:r w:rsidRPr="00065FA8">
        <w:rPr>
          <w:rFonts w:cstheme="minorHAnsi"/>
          <w:b/>
        </w:rPr>
        <w:t xml:space="preserve"> anticipatory care</w:t>
      </w:r>
      <w:r>
        <w:rPr>
          <w:rFonts w:cstheme="minorHAnsi"/>
          <w:b/>
        </w:rPr>
        <w:t xml:space="preserve">, based on the outcome of the population segmentation approach above. </w:t>
      </w:r>
    </w:p>
    <w:p w14:paraId="7DE1D916" w14:textId="77777777" w:rsidR="006A79D6" w:rsidRPr="00065FA8" w:rsidRDefault="006A79D6" w:rsidP="00561BFE">
      <w:pPr>
        <w:pStyle w:val="ListParagraph"/>
        <w:tabs>
          <w:tab w:val="left" w:pos="1418"/>
        </w:tabs>
        <w:spacing w:line="276" w:lineRule="auto"/>
        <w:rPr>
          <w:rFonts w:cstheme="minorHAnsi"/>
          <w:b/>
        </w:rPr>
      </w:pPr>
    </w:p>
    <w:p w14:paraId="5C521548" w14:textId="77777777" w:rsidR="00D427B5" w:rsidRPr="00065FA8" w:rsidRDefault="00D427B5" w:rsidP="00561BFE">
      <w:pPr>
        <w:pStyle w:val="ListParagraph"/>
        <w:tabs>
          <w:tab w:val="left" w:pos="1418"/>
        </w:tabs>
        <w:spacing w:line="276" w:lineRule="auto"/>
        <w:rPr>
          <w:rFonts w:cstheme="minorHAnsi"/>
          <w:b/>
        </w:rPr>
      </w:pPr>
      <w:r w:rsidRPr="006A79D6">
        <w:rPr>
          <w:rFonts w:cstheme="minorHAnsi"/>
        </w:rPr>
        <w:t xml:space="preserve">This </w:t>
      </w:r>
      <w:r w:rsidR="005E7A12">
        <w:rPr>
          <w:rFonts w:cstheme="minorHAnsi"/>
        </w:rPr>
        <w:t xml:space="preserve">list </w:t>
      </w:r>
      <w:r w:rsidRPr="006A79D6">
        <w:rPr>
          <w:rFonts w:cstheme="minorHAnsi"/>
        </w:rPr>
        <w:t>will be dynamic: it will be maintained and updated in real time based on population health intelligence.</w:t>
      </w:r>
    </w:p>
    <w:p w14:paraId="54074166" w14:textId="77777777" w:rsidR="00D427B5" w:rsidRDefault="00D427B5" w:rsidP="00561BFE">
      <w:pPr>
        <w:pStyle w:val="ListParagraph"/>
        <w:tabs>
          <w:tab w:val="left" w:pos="1418"/>
        </w:tabs>
        <w:spacing w:line="276" w:lineRule="auto"/>
        <w:ind w:left="360"/>
        <w:rPr>
          <w:rFonts w:cstheme="minorHAnsi"/>
        </w:rPr>
      </w:pPr>
    </w:p>
    <w:p w14:paraId="3564C284" w14:textId="77777777" w:rsidR="006A79D6" w:rsidRPr="00065FA8" w:rsidRDefault="00D427B5" w:rsidP="00561BFE">
      <w:pPr>
        <w:pStyle w:val="ListParagraph"/>
        <w:numPr>
          <w:ilvl w:val="0"/>
          <w:numId w:val="28"/>
        </w:numPr>
        <w:tabs>
          <w:tab w:val="left" w:pos="1418"/>
        </w:tabs>
        <w:spacing w:line="276" w:lineRule="auto"/>
      </w:pPr>
      <w:r>
        <w:rPr>
          <w:rFonts w:cstheme="minorHAnsi"/>
          <w:b/>
        </w:rPr>
        <w:t xml:space="preserve">The delivery of a comprehensive set of support for those individuals identified as eligible through the anticipatory care </w:t>
      </w:r>
      <w:r w:rsidR="005E7A12">
        <w:rPr>
          <w:rFonts w:cstheme="minorHAnsi"/>
          <w:b/>
        </w:rPr>
        <w:t>list</w:t>
      </w:r>
      <w:r>
        <w:rPr>
          <w:rFonts w:cstheme="minorHAnsi"/>
          <w:b/>
        </w:rPr>
        <w:t xml:space="preserve">, through an MDT based across PCNs and community service providers. </w:t>
      </w:r>
    </w:p>
    <w:p w14:paraId="75872155" w14:textId="77777777" w:rsidR="006A79D6" w:rsidRPr="006A79D6" w:rsidRDefault="006A79D6" w:rsidP="00561BFE">
      <w:pPr>
        <w:pStyle w:val="ListParagraph"/>
        <w:tabs>
          <w:tab w:val="left" w:pos="1418"/>
        </w:tabs>
        <w:spacing w:line="276" w:lineRule="auto"/>
      </w:pPr>
    </w:p>
    <w:p w14:paraId="5C16C2D9" w14:textId="77777777" w:rsidR="002B000A" w:rsidRDefault="00D427B5" w:rsidP="00561BFE">
      <w:pPr>
        <w:pStyle w:val="ListParagraph"/>
        <w:tabs>
          <w:tab w:val="left" w:pos="1418"/>
        </w:tabs>
        <w:spacing w:line="276" w:lineRule="auto"/>
        <w:rPr>
          <w:rFonts w:cstheme="minorHAnsi"/>
        </w:rPr>
      </w:pPr>
      <w:r w:rsidRPr="006A79D6">
        <w:rPr>
          <w:rFonts w:cstheme="minorHAnsi"/>
        </w:rPr>
        <w:t xml:space="preserve">The available support </w:t>
      </w:r>
      <w:r w:rsidR="002B000A" w:rsidRPr="006A79D6">
        <w:rPr>
          <w:rFonts w:cstheme="minorHAnsi"/>
        </w:rPr>
        <w:t xml:space="preserve">provided to each individual </w:t>
      </w:r>
      <w:r w:rsidRPr="006A79D6">
        <w:rPr>
          <w:rFonts w:cstheme="minorHAnsi"/>
        </w:rPr>
        <w:t xml:space="preserve">will be based upon each </w:t>
      </w:r>
      <w:r w:rsidR="002B000A" w:rsidRPr="006A79D6">
        <w:rPr>
          <w:rFonts w:cstheme="minorHAnsi"/>
        </w:rPr>
        <w:t xml:space="preserve">their </w:t>
      </w:r>
      <w:r w:rsidRPr="006A79D6">
        <w:rPr>
          <w:rFonts w:cstheme="minorHAnsi"/>
        </w:rPr>
        <w:t xml:space="preserve">personalised care and support plan, </w:t>
      </w:r>
      <w:r w:rsidR="002B000A" w:rsidRPr="006A79D6">
        <w:rPr>
          <w:rFonts w:cstheme="minorHAnsi"/>
        </w:rPr>
        <w:t xml:space="preserve">but support offers </w:t>
      </w:r>
      <w:r w:rsidRPr="006A79D6">
        <w:rPr>
          <w:rFonts w:cstheme="minorHAnsi"/>
        </w:rPr>
        <w:t xml:space="preserve">will include </w:t>
      </w:r>
      <w:r w:rsidR="00A3584C">
        <w:rPr>
          <w:rFonts w:cstheme="minorHAnsi"/>
        </w:rPr>
        <w:t xml:space="preserve">a broad range of primary and community services support via the MDT. Establishing this support infrastructure is a key component of the 2020/21 requirements. </w:t>
      </w:r>
    </w:p>
    <w:p w14:paraId="703DDA2B" w14:textId="77777777" w:rsidR="00A3584C" w:rsidRPr="00A3584C" w:rsidRDefault="00A3584C" w:rsidP="00561BFE">
      <w:pPr>
        <w:pStyle w:val="ListParagraph"/>
        <w:tabs>
          <w:tab w:val="left" w:pos="1418"/>
        </w:tabs>
        <w:spacing w:line="276" w:lineRule="auto"/>
      </w:pPr>
    </w:p>
    <w:p w14:paraId="412EEDE2" w14:textId="19945790" w:rsidR="006A79D6" w:rsidRPr="00C1247B" w:rsidRDefault="004B2E1F" w:rsidP="00561BFE">
      <w:pPr>
        <w:pStyle w:val="ListParagraph"/>
        <w:numPr>
          <w:ilvl w:val="1"/>
          <w:numId w:val="31"/>
        </w:numPr>
        <w:tabs>
          <w:tab w:val="left" w:pos="1418"/>
        </w:tabs>
        <w:spacing w:line="276" w:lineRule="auto"/>
      </w:pPr>
      <w:r>
        <w:t>Complex population cohorts require the skills of different healthcare professionals working together as a multidisciplinary team. For MDTs to achieve their goal, PCNs and other health and care partners must share relevant patient information and develop whole system data sharing and data processing agreements, drawing on national guidance. In time, this data will be sourced from Local Health and Care Records.</w:t>
      </w:r>
    </w:p>
    <w:p w14:paraId="4068DAC2" w14:textId="77777777" w:rsidR="004B2E1F" w:rsidRDefault="004B2E1F" w:rsidP="00561BFE">
      <w:pPr>
        <w:pStyle w:val="ListParagraph"/>
        <w:spacing w:line="276" w:lineRule="auto"/>
        <w:ind w:left="792"/>
      </w:pPr>
    </w:p>
    <w:p w14:paraId="119D0E49" w14:textId="30300963" w:rsidR="00C81129" w:rsidRDefault="002D6C93" w:rsidP="00561BFE">
      <w:pPr>
        <w:spacing w:after="0" w:line="276" w:lineRule="auto"/>
        <w:rPr>
          <w:b/>
        </w:rPr>
      </w:pPr>
      <w:r>
        <w:rPr>
          <w:b/>
        </w:rPr>
        <w:t>Proposed s</w:t>
      </w:r>
      <w:r w:rsidR="00C81129">
        <w:rPr>
          <w:b/>
        </w:rPr>
        <w:t xml:space="preserve">ervice </w:t>
      </w:r>
      <w:r>
        <w:rPr>
          <w:b/>
        </w:rPr>
        <w:t>r</w:t>
      </w:r>
      <w:r w:rsidR="00C81129" w:rsidRPr="004B2E1F">
        <w:rPr>
          <w:b/>
        </w:rPr>
        <w:t>equirements for 2020/21</w:t>
      </w:r>
    </w:p>
    <w:p w14:paraId="3DE4FA80" w14:textId="77777777" w:rsidR="006F594D" w:rsidRPr="004B2E1F" w:rsidRDefault="006F594D" w:rsidP="00561BFE">
      <w:pPr>
        <w:spacing w:after="0" w:line="276" w:lineRule="auto"/>
        <w:rPr>
          <w:b/>
        </w:rPr>
      </w:pPr>
    </w:p>
    <w:p w14:paraId="5139B6C6" w14:textId="77777777" w:rsidR="004B2E1F" w:rsidRDefault="007B1078" w:rsidP="00561BFE">
      <w:pPr>
        <w:pStyle w:val="ListParagraph"/>
        <w:numPr>
          <w:ilvl w:val="1"/>
          <w:numId w:val="31"/>
        </w:numPr>
        <w:spacing w:line="276" w:lineRule="auto"/>
      </w:pPr>
      <w:r>
        <w:t xml:space="preserve">During </w:t>
      </w:r>
      <w:r w:rsidR="004B2E1F">
        <w:t>2020</w:t>
      </w:r>
      <w:r>
        <w:t>/21</w:t>
      </w:r>
      <w:r w:rsidR="004B2E1F">
        <w:t>, practices working as part of PCNs</w:t>
      </w:r>
      <w:r w:rsidR="006062EA">
        <w:t xml:space="preserve"> and</w:t>
      </w:r>
      <w:r w:rsidR="004B2E1F">
        <w:t xml:space="preserve"> </w:t>
      </w:r>
      <w:r w:rsidR="008D0A95">
        <w:t xml:space="preserve">working with </w:t>
      </w:r>
      <w:r w:rsidR="004B2E1F">
        <w:t>providers of community services, will:</w:t>
      </w:r>
    </w:p>
    <w:p w14:paraId="2E25A2DF" w14:textId="77777777" w:rsidR="00065FA8" w:rsidRDefault="00065FA8" w:rsidP="00561BFE">
      <w:pPr>
        <w:pStyle w:val="ListParagraph"/>
        <w:spacing w:line="276" w:lineRule="auto"/>
        <w:ind w:left="567"/>
      </w:pPr>
    </w:p>
    <w:tbl>
      <w:tblPr>
        <w:tblStyle w:val="TableGrid"/>
        <w:tblW w:w="8930" w:type="dxa"/>
        <w:tblInd w:w="137" w:type="dxa"/>
        <w:tblLook w:val="04A0" w:firstRow="1" w:lastRow="0" w:firstColumn="1" w:lastColumn="0" w:noHBand="0" w:noVBand="1"/>
      </w:tblPr>
      <w:tblGrid>
        <w:gridCol w:w="421"/>
        <w:gridCol w:w="4254"/>
        <w:gridCol w:w="4255"/>
      </w:tblGrid>
      <w:tr w:rsidR="00605DC5" w14:paraId="34A69417" w14:textId="77777777" w:rsidTr="007305A1">
        <w:tc>
          <w:tcPr>
            <w:tcW w:w="421" w:type="dxa"/>
          </w:tcPr>
          <w:p w14:paraId="5E69F4D7" w14:textId="77777777" w:rsidR="00605DC5" w:rsidRPr="007D1CE3" w:rsidRDefault="00605DC5" w:rsidP="00561BFE">
            <w:pPr>
              <w:pStyle w:val="ListParagraph"/>
              <w:spacing w:line="276" w:lineRule="auto"/>
              <w:ind w:left="0"/>
              <w:rPr>
                <w:b/>
              </w:rPr>
            </w:pPr>
          </w:p>
        </w:tc>
        <w:tc>
          <w:tcPr>
            <w:tcW w:w="4254" w:type="dxa"/>
          </w:tcPr>
          <w:p w14:paraId="74E60FCA" w14:textId="430CD591" w:rsidR="00605DC5" w:rsidRPr="007D1CE3" w:rsidRDefault="00605DC5" w:rsidP="00561BFE">
            <w:pPr>
              <w:pStyle w:val="ListParagraph"/>
              <w:spacing w:line="276" w:lineRule="auto"/>
              <w:ind w:left="0"/>
              <w:rPr>
                <w:b/>
              </w:rPr>
            </w:pPr>
            <w:r w:rsidRPr="007D1CE3">
              <w:rPr>
                <w:b/>
              </w:rPr>
              <w:t>Practices, working as part of PCNs</w:t>
            </w:r>
          </w:p>
        </w:tc>
        <w:tc>
          <w:tcPr>
            <w:tcW w:w="4255" w:type="dxa"/>
          </w:tcPr>
          <w:p w14:paraId="38F89CDD" w14:textId="77777777" w:rsidR="00605DC5" w:rsidRPr="00A30FED" w:rsidRDefault="00605DC5" w:rsidP="00561BFE">
            <w:pPr>
              <w:pStyle w:val="ListParagraph"/>
              <w:spacing w:line="276" w:lineRule="auto"/>
              <w:ind w:left="0"/>
              <w:rPr>
                <w:color w:val="000000" w:themeColor="text1"/>
              </w:rPr>
            </w:pPr>
            <w:r w:rsidRPr="00A30FED">
              <w:rPr>
                <w:rFonts w:cs="Arial"/>
                <w:b/>
                <w:color w:val="000000" w:themeColor="text1"/>
              </w:rPr>
              <w:t>Other providers of community services, including mental health</w:t>
            </w:r>
          </w:p>
        </w:tc>
      </w:tr>
      <w:tr w:rsidR="00605DC5" w14:paraId="2454925E" w14:textId="77777777" w:rsidTr="007305A1">
        <w:tc>
          <w:tcPr>
            <w:tcW w:w="421" w:type="dxa"/>
          </w:tcPr>
          <w:p w14:paraId="124B0C80" w14:textId="01601410" w:rsidR="00605DC5" w:rsidRDefault="00605DC5" w:rsidP="00561BFE">
            <w:pPr>
              <w:spacing w:line="276" w:lineRule="auto"/>
            </w:pPr>
            <w:r>
              <w:lastRenderedPageBreak/>
              <w:t>1</w:t>
            </w:r>
          </w:p>
        </w:tc>
        <w:tc>
          <w:tcPr>
            <w:tcW w:w="4254" w:type="dxa"/>
          </w:tcPr>
          <w:p w14:paraId="758C0CF8" w14:textId="6AEFE14A" w:rsidR="00605DC5" w:rsidRDefault="00605DC5" w:rsidP="00561BFE">
            <w:pPr>
              <w:spacing w:line="276" w:lineRule="auto"/>
            </w:pPr>
            <w:r>
              <w:t>From no later than 30 June 2020, present a coherent local Anticipatory Care model by:</w:t>
            </w:r>
          </w:p>
          <w:p w14:paraId="18DA8566" w14:textId="1B62CEE9" w:rsidR="00605DC5" w:rsidRPr="00F01E0D" w:rsidRDefault="000C6C5B" w:rsidP="00561BFE">
            <w:pPr>
              <w:pStyle w:val="ListParagraph"/>
              <w:numPr>
                <w:ilvl w:val="0"/>
                <w:numId w:val="67"/>
              </w:numPr>
              <w:spacing w:line="276" w:lineRule="auto"/>
              <w:rPr>
                <w:rFonts w:eastAsia="HGSMinchoE"/>
                <w:szCs w:val="24"/>
              </w:rPr>
            </w:pPr>
            <w:r>
              <w:rPr>
                <w:rFonts w:eastAsia="HGSMinchoE"/>
                <w:szCs w:val="24"/>
              </w:rPr>
              <w:t xml:space="preserve">identifying a </w:t>
            </w:r>
            <w:r w:rsidR="00605DC5" w:rsidRPr="002F51D1">
              <w:rPr>
                <w:rFonts w:eastAsia="HGSMinchoE"/>
                <w:szCs w:val="24"/>
              </w:rPr>
              <w:t xml:space="preserve">responsible </w:t>
            </w:r>
            <w:r w:rsidR="00102EB8">
              <w:rPr>
                <w:rFonts w:eastAsia="HGSMinchoE"/>
                <w:szCs w:val="24"/>
              </w:rPr>
              <w:t xml:space="preserve">clinical </w:t>
            </w:r>
            <w:r w:rsidR="00605DC5" w:rsidRPr="002F51D1">
              <w:rPr>
                <w:rFonts w:eastAsia="HGSMinchoE"/>
                <w:szCs w:val="24"/>
              </w:rPr>
              <w:t xml:space="preserve">lead for </w:t>
            </w:r>
            <w:r w:rsidR="00605DC5">
              <w:rPr>
                <w:rFonts w:eastAsia="HGSMinchoE"/>
                <w:szCs w:val="24"/>
              </w:rPr>
              <w:t xml:space="preserve">delivery of </w:t>
            </w:r>
            <w:r w:rsidR="00605DC5" w:rsidRPr="002F51D1">
              <w:rPr>
                <w:rFonts w:eastAsia="HGSMinchoE"/>
                <w:szCs w:val="24"/>
              </w:rPr>
              <w:t xml:space="preserve">the </w:t>
            </w:r>
            <w:r w:rsidR="00605DC5">
              <w:rPr>
                <w:rFonts w:eastAsia="HGSMinchoE"/>
                <w:szCs w:val="24"/>
              </w:rPr>
              <w:t>model</w:t>
            </w:r>
            <w:r>
              <w:rPr>
                <w:rFonts w:eastAsia="HGSMinchoE"/>
                <w:szCs w:val="24"/>
              </w:rPr>
              <w:t>;</w:t>
            </w:r>
          </w:p>
          <w:p w14:paraId="123C64E9" w14:textId="182F15D6" w:rsidR="00605DC5" w:rsidRDefault="000C6C5B" w:rsidP="00561BFE">
            <w:pPr>
              <w:pStyle w:val="ListParagraph"/>
              <w:numPr>
                <w:ilvl w:val="0"/>
                <w:numId w:val="67"/>
              </w:numPr>
              <w:spacing w:line="276" w:lineRule="auto"/>
              <w:rPr>
                <w:rFonts w:eastAsia="HGSMinchoE"/>
                <w:szCs w:val="24"/>
              </w:rPr>
            </w:pPr>
            <w:r>
              <w:rPr>
                <w:rFonts w:eastAsia="HGSMinchoE"/>
                <w:szCs w:val="24"/>
              </w:rPr>
              <w:t>a</w:t>
            </w:r>
            <w:r w:rsidR="00605DC5">
              <w:rPr>
                <w:rFonts w:eastAsia="HGSMinchoE"/>
                <w:szCs w:val="24"/>
              </w:rPr>
              <w:t>ssisting with the development and improvement of system-level population health management approaches to identify patients with complex needs that would benefit from anticipatory care</w:t>
            </w:r>
            <w:r>
              <w:rPr>
                <w:rFonts w:eastAsia="HGSMinchoE"/>
                <w:szCs w:val="24"/>
              </w:rPr>
              <w:t>;</w:t>
            </w:r>
          </w:p>
          <w:p w14:paraId="31F803BB" w14:textId="61656205" w:rsidR="00605DC5" w:rsidRPr="00024606" w:rsidRDefault="000C6C5B" w:rsidP="00561BFE">
            <w:pPr>
              <w:pStyle w:val="ListParagraph"/>
              <w:numPr>
                <w:ilvl w:val="0"/>
                <w:numId w:val="67"/>
              </w:numPr>
              <w:spacing w:line="276" w:lineRule="auto"/>
              <w:rPr>
                <w:rFonts w:eastAsia="HGSMinchoE"/>
                <w:szCs w:val="24"/>
              </w:rPr>
            </w:pPr>
            <w:r>
              <w:rPr>
                <w:rFonts w:eastAsia="HGSMinchoE"/>
                <w:szCs w:val="24"/>
              </w:rPr>
              <w:t>w</w:t>
            </w:r>
            <w:r w:rsidR="00605DC5">
              <w:rPr>
                <w:rFonts w:eastAsia="HGSMinchoE"/>
                <w:szCs w:val="24"/>
              </w:rPr>
              <w:t>ork</w:t>
            </w:r>
            <w:r>
              <w:rPr>
                <w:rFonts w:eastAsia="HGSMinchoE"/>
                <w:szCs w:val="24"/>
              </w:rPr>
              <w:t>ing</w:t>
            </w:r>
            <w:r w:rsidR="00605DC5">
              <w:rPr>
                <w:rFonts w:eastAsia="HGSMinchoE"/>
                <w:szCs w:val="24"/>
              </w:rPr>
              <w:t xml:space="preserve"> with others to develop and establish, </w:t>
            </w:r>
            <w:r w:rsidR="00605DC5" w:rsidRPr="00024606">
              <w:rPr>
                <w:rFonts w:eastAsia="HGSMinchoE"/>
                <w:szCs w:val="24"/>
              </w:rPr>
              <w:t xml:space="preserve">clinical accountability and governance arrangements </w:t>
            </w:r>
            <w:r w:rsidR="00605DC5">
              <w:rPr>
                <w:rFonts w:eastAsia="HGSMinchoE"/>
                <w:szCs w:val="24"/>
              </w:rPr>
              <w:t xml:space="preserve">to manage the model, through shared design </w:t>
            </w:r>
            <w:r w:rsidR="00605DC5" w:rsidRPr="00024606">
              <w:rPr>
                <w:rFonts w:eastAsia="HGSMinchoE"/>
                <w:szCs w:val="24"/>
              </w:rPr>
              <w:t>with providers of community services</w:t>
            </w:r>
            <w:r w:rsidR="00605DC5">
              <w:rPr>
                <w:rFonts w:eastAsia="HGSMinchoE"/>
                <w:szCs w:val="24"/>
              </w:rPr>
              <w:t xml:space="preserve"> and </w:t>
            </w:r>
            <w:r w:rsidR="00605DC5" w:rsidRPr="00024606">
              <w:rPr>
                <w:rFonts w:eastAsia="HGSMinchoE"/>
                <w:szCs w:val="24"/>
              </w:rPr>
              <w:t xml:space="preserve">mental health care, </w:t>
            </w:r>
            <w:r w:rsidR="00605DC5">
              <w:rPr>
                <w:rFonts w:eastAsia="HGSMinchoE"/>
                <w:szCs w:val="24"/>
              </w:rPr>
              <w:t>engaging with</w:t>
            </w:r>
            <w:r w:rsidR="00605DC5" w:rsidRPr="00024606">
              <w:rPr>
                <w:rFonts w:eastAsia="HGSMinchoE"/>
                <w:szCs w:val="24"/>
              </w:rPr>
              <w:t xml:space="preserve"> social care and voluntary services</w:t>
            </w:r>
            <w:r w:rsidR="00605DC5">
              <w:rPr>
                <w:rFonts w:eastAsia="HGSMinchoE"/>
                <w:szCs w:val="24"/>
              </w:rPr>
              <w:t>, drawing on existing system-level programmes where possible</w:t>
            </w:r>
            <w:r>
              <w:rPr>
                <w:rFonts w:eastAsia="HGSMinchoE"/>
                <w:szCs w:val="24"/>
              </w:rPr>
              <w:t>;</w:t>
            </w:r>
          </w:p>
          <w:p w14:paraId="12B3E28C" w14:textId="1C7A6F57" w:rsidR="00605DC5" w:rsidRDefault="000C6C5B" w:rsidP="00561BFE">
            <w:pPr>
              <w:pStyle w:val="ListParagraph"/>
              <w:numPr>
                <w:ilvl w:val="0"/>
                <w:numId w:val="67"/>
              </w:numPr>
              <w:spacing w:line="276" w:lineRule="auto"/>
              <w:rPr>
                <w:rFonts w:eastAsia="HGSMinchoE"/>
                <w:szCs w:val="24"/>
              </w:rPr>
            </w:pPr>
            <w:r>
              <w:rPr>
                <w:rFonts w:eastAsia="HGSMinchoE"/>
                <w:szCs w:val="24"/>
              </w:rPr>
              <w:t>t</w:t>
            </w:r>
            <w:r w:rsidR="00605DC5" w:rsidRPr="002F51D1">
              <w:rPr>
                <w:rFonts w:eastAsia="HGSMinchoE"/>
                <w:szCs w:val="24"/>
              </w:rPr>
              <w:t>aking a leading role in</w:t>
            </w:r>
            <w:r w:rsidR="00605DC5">
              <w:rPr>
                <w:rFonts w:eastAsia="HGSMinchoE"/>
                <w:szCs w:val="24"/>
              </w:rPr>
              <w:t xml:space="preserve"> coordinating the care and support of people as patients begin to be treated by Anticipatory Care - </w:t>
            </w:r>
            <w:r w:rsidR="00605DC5" w:rsidRPr="002F51D1">
              <w:rPr>
                <w:rFonts w:eastAsia="HGSMinchoE"/>
                <w:szCs w:val="24"/>
              </w:rPr>
              <w:t xml:space="preserve">building links and working across the system to facilitate development of a wider model of integrated care for individuals living with </w:t>
            </w:r>
            <w:r w:rsidR="00605DC5">
              <w:rPr>
                <w:rFonts w:eastAsia="HGSMinchoE"/>
                <w:szCs w:val="24"/>
              </w:rPr>
              <w:t>complex needs</w:t>
            </w:r>
            <w:r>
              <w:rPr>
                <w:rFonts w:eastAsia="HGSMinchoE"/>
                <w:szCs w:val="24"/>
              </w:rPr>
              <w:t>.</w:t>
            </w:r>
            <w:r w:rsidR="00605DC5" w:rsidRPr="002F51D1">
              <w:rPr>
                <w:rFonts w:eastAsia="HGSMinchoE"/>
                <w:szCs w:val="24"/>
              </w:rPr>
              <w:t xml:space="preserve"> </w:t>
            </w:r>
          </w:p>
          <w:p w14:paraId="1A06BE86" w14:textId="77777777" w:rsidR="00605DC5" w:rsidRDefault="00605DC5" w:rsidP="00561BFE">
            <w:pPr>
              <w:spacing w:line="276" w:lineRule="auto"/>
            </w:pPr>
          </w:p>
        </w:tc>
        <w:tc>
          <w:tcPr>
            <w:tcW w:w="4255" w:type="dxa"/>
          </w:tcPr>
          <w:p w14:paraId="0FC7CDDC" w14:textId="0FA2B3A5" w:rsidR="00605DC5" w:rsidRPr="00B73FDD" w:rsidRDefault="00605DC5" w:rsidP="00561BFE">
            <w:pPr>
              <w:spacing w:line="276" w:lineRule="auto"/>
            </w:pPr>
            <w:r>
              <w:t>From no later than 30 June 2020, a</w:t>
            </w:r>
            <w:r w:rsidRPr="00B73FDD">
              <w:t xml:space="preserve">ssist with the development and improvement of system-level population health management approaches to identify patients with complex needs that would benefit from </w:t>
            </w:r>
            <w:r>
              <w:t>Anticipatory Care.</w:t>
            </w:r>
          </w:p>
          <w:p w14:paraId="7F3126B8" w14:textId="77777777" w:rsidR="00605DC5" w:rsidRDefault="00605DC5" w:rsidP="00561BFE">
            <w:pPr>
              <w:spacing w:line="276" w:lineRule="auto"/>
              <w:rPr>
                <w:rFonts w:cs="Arial"/>
              </w:rPr>
            </w:pPr>
          </w:p>
          <w:p w14:paraId="1BA74AB8" w14:textId="313047D0" w:rsidR="00605DC5" w:rsidRPr="00B73FDD" w:rsidRDefault="00605DC5" w:rsidP="00561BFE">
            <w:pPr>
              <w:spacing w:line="276" w:lineRule="auto"/>
            </w:pPr>
            <w:r w:rsidRPr="00B73FDD">
              <w:rPr>
                <w:rFonts w:cs="Arial"/>
              </w:rPr>
              <w:t>Support</w:t>
            </w:r>
            <w:r>
              <w:rPr>
                <w:rFonts w:cs="Arial"/>
              </w:rPr>
              <w:t xml:space="preserve"> the coordination of</w:t>
            </w:r>
            <w:r w:rsidRPr="00B73FDD">
              <w:t xml:space="preserve"> the care and support of people being treated by the </w:t>
            </w:r>
            <w:r>
              <w:t>A</w:t>
            </w:r>
            <w:r w:rsidRPr="00B73FDD">
              <w:t xml:space="preserve">nticipatory </w:t>
            </w:r>
            <w:r>
              <w:t>C</w:t>
            </w:r>
            <w:r w:rsidRPr="00B73FDD">
              <w:t xml:space="preserve">are </w:t>
            </w:r>
            <w:r>
              <w:t>model</w:t>
            </w:r>
            <w:r w:rsidRPr="00B73FDD">
              <w:t xml:space="preserve">, building links and working across the system to facilitate development of a wider model of integrated care for individuals living with complex needs </w:t>
            </w:r>
          </w:p>
          <w:p w14:paraId="7BEA41A4" w14:textId="77777777" w:rsidR="00605DC5" w:rsidRPr="00024606" w:rsidRDefault="00605DC5" w:rsidP="00561BFE">
            <w:pPr>
              <w:spacing w:line="276" w:lineRule="auto"/>
              <w:rPr>
                <w:rFonts w:cs="Arial"/>
              </w:rPr>
            </w:pPr>
          </w:p>
          <w:p w14:paraId="64E537BF" w14:textId="77777777" w:rsidR="00605DC5" w:rsidRDefault="00605DC5" w:rsidP="00561BFE">
            <w:pPr>
              <w:pStyle w:val="ListParagraph"/>
              <w:spacing w:line="276" w:lineRule="auto"/>
              <w:ind w:left="0"/>
            </w:pPr>
            <w:r>
              <w:t xml:space="preserve">Work with others to </w:t>
            </w:r>
            <w:r w:rsidRPr="00024606">
              <w:t xml:space="preserve">develop and agree </w:t>
            </w:r>
            <w:r>
              <w:t xml:space="preserve">delivery, </w:t>
            </w:r>
            <w:r w:rsidRPr="00024606">
              <w:t>clinical accountability and governance arrangements with practices working as part of a PCN</w:t>
            </w:r>
            <w:r>
              <w:t>,</w:t>
            </w:r>
            <w:r w:rsidRPr="00024606">
              <w:t xml:space="preserve"> </w:t>
            </w:r>
            <w:r>
              <w:t xml:space="preserve">engaging with </w:t>
            </w:r>
            <w:r w:rsidRPr="00024606">
              <w:t>other providers of community services, mental health care, social care and voluntary services.</w:t>
            </w:r>
          </w:p>
          <w:p w14:paraId="48988E4D" w14:textId="77777777" w:rsidR="00605DC5" w:rsidRDefault="00605DC5" w:rsidP="00561BFE">
            <w:pPr>
              <w:pStyle w:val="ListParagraph"/>
              <w:spacing w:line="276" w:lineRule="auto"/>
              <w:ind w:left="0"/>
            </w:pPr>
          </w:p>
          <w:p w14:paraId="1F97F9BD" w14:textId="3B1A0B55" w:rsidR="00605DC5" w:rsidRDefault="00605DC5" w:rsidP="00561BFE">
            <w:pPr>
              <w:pStyle w:val="ListParagraph"/>
              <w:spacing w:line="276" w:lineRule="auto"/>
              <w:ind w:left="0"/>
            </w:pPr>
            <w:r>
              <w:t>Work with the CCG, PCN, providers of social care and voluntary sectors and patient representative groups to co-design and clearly set out how and where the range of support service offers described below (which will be recurrently available through MDTs for those receiving anticipatory care) and other support services will be delivered.</w:t>
            </w:r>
          </w:p>
        </w:tc>
      </w:tr>
      <w:tr w:rsidR="00605DC5" w14:paraId="7065D837" w14:textId="77777777" w:rsidTr="007305A1">
        <w:tc>
          <w:tcPr>
            <w:tcW w:w="421" w:type="dxa"/>
          </w:tcPr>
          <w:p w14:paraId="6D764924" w14:textId="3D8D1278" w:rsidR="00605DC5" w:rsidRDefault="00605DC5" w:rsidP="00561BFE">
            <w:pPr>
              <w:tabs>
                <w:tab w:val="left" w:pos="1860"/>
              </w:tabs>
              <w:spacing w:line="276" w:lineRule="auto"/>
            </w:pPr>
            <w:r>
              <w:t>2</w:t>
            </w:r>
          </w:p>
        </w:tc>
        <w:tc>
          <w:tcPr>
            <w:tcW w:w="4254" w:type="dxa"/>
          </w:tcPr>
          <w:p w14:paraId="5B7FD74B" w14:textId="6FD279CF" w:rsidR="00605DC5" w:rsidRPr="00B73FDD" w:rsidRDefault="00605DC5" w:rsidP="00561BFE">
            <w:pPr>
              <w:tabs>
                <w:tab w:val="left" w:pos="1860"/>
              </w:tabs>
              <w:spacing w:line="276" w:lineRule="auto"/>
            </w:pPr>
            <w:r>
              <w:t>From no later than 30 June 2020, with CCG support, work with others to develop and sign d</w:t>
            </w:r>
            <w:r w:rsidRPr="00B73FDD">
              <w:t xml:space="preserve">ata sharing agreements between practices and with providers delivering community </w:t>
            </w:r>
            <w:r>
              <w:t xml:space="preserve">and mental health </w:t>
            </w:r>
            <w:r w:rsidRPr="00B73FDD">
              <w:t>services</w:t>
            </w:r>
            <w:r>
              <w:t xml:space="preserve">, </w:t>
            </w:r>
            <w:r w:rsidRPr="00B73FDD">
              <w:t xml:space="preserve">local acute hospitals voluntary sector organisations and social care to support the operation of MDTs and </w:t>
            </w:r>
            <w:r w:rsidRPr="00B73FDD">
              <w:lastRenderedPageBreak/>
              <w:t xml:space="preserve">the development of population health </w:t>
            </w:r>
            <w:r>
              <w:t xml:space="preserve">analytics </w:t>
            </w:r>
            <w:r w:rsidRPr="00B73FDD">
              <w:t>data sets.</w:t>
            </w:r>
          </w:p>
          <w:p w14:paraId="52734C76" w14:textId="77777777" w:rsidR="00605DC5" w:rsidRDefault="00605DC5" w:rsidP="00561BFE">
            <w:pPr>
              <w:tabs>
                <w:tab w:val="left" w:pos="1860"/>
              </w:tabs>
              <w:spacing w:line="276" w:lineRule="auto"/>
            </w:pPr>
          </w:p>
          <w:p w14:paraId="0B7CB7AA" w14:textId="7897F53A" w:rsidR="00605DC5" w:rsidRDefault="00605DC5" w:rsidP="00561BFE">
            <w:pPr>
              <w:tabs>
                <w:tab w:val="left" w:pos="1860"/>
              </w:tabs>
              <w:spacing w:line="276" w:lineRule="auto"/>
            </w:pPr>
            <w:bookmarkStart w:id="16" w:name="_Hlk26277534"/>
            <w:r>
              <w:t>Support the development of system-level linked data sets to build population health analytics capabilities, including the extraction of anonymised, patient level data.</w:t>
            </w:r>
            <w:bookmarkEnd w:id="16"/>
          </w:p>
        </w:tc>
        <w:tc>
          <w:tcPr>
            <w:tcW w:w="4255" w:type="dxa"/>
          </w:tcPr>
          <w:p w14:paraId="4A9EAD67" w14:textId="78A7BC29" w:rsidR="00605DC5" w:rsidRDefault="00605DC5" w:rsidP="00561BFE">
            <w:pPr>
              <w:tabs>
                <w:tab w:val="left" w:pos="1860"/>
              </w:tabs>
              <w:spacing w:line="276" w:lineRule="auto"/>
              <w:rPr>
                <w:rFonts w:cs="Arial"/>
              </w:rPr>
            </w:pPr>
            <w:r>
              <w:lastRenderedPageBreak/>
              <w:t>From no later than 30 June 2020 work with others to develop and sign d</w:t>
            </w:r>
            <w:r w:rsidRPr="00B73FDD">
              <w:t xml:space="preserve">ata sharing agreements </w:t>
            </w:r>
            <w:r>
              <w:t>with</w:t>
            </w:r>
            <w:r w:rsidRPr="00B73FDD">
              <w:t xml:space="preserve"> practices and with </w:t>
            </w:r>
            <w:r>
              <w:t xml:space="preserve">other </w:t>
            </w:r>
            <w:r w:rsidRPr="00B73FDD">
              <w:t xml:space="preserve">providers delivering community </w:t>
            </w:r>
            <w:r>
              <w:t xml:space="preserve">and mental health </w:t>
            </w:r>
            <w:r w:rsidRPr="00B73FDD">
              <w:t>services</w:t>
            </w:r>
            <w:r>
              <w:t xml:space="preserve">, </w:t>
            </w:r>
            <w:r w:rsidRPr="00B73FDD">
              <w:t xml:space="preserve">local acute </w:t>
            </w:r>
            <w:r>
              <w:t>Trusts,</w:t>
            </w:r>
            <w:r w:rsidRPr="00B73FDD">
              <w:t xml:space="preserve"> voluntary sector organisations and </w:t>
            </w:r>
            <w:r>
              <w:t xml:space="preserve">providers of </w:t>
            </w:r>
            <w:r w:rsidRPr="00B73FDD">
              <w:t xml:space="preserve">social care to support the operation of MDTs and the </w:t>
            </w:r>
            <w:r w:rsidRPr="00B73FDD">
              <w:lastRenderedPageBreak/>
              <w:t>development of population health data sets.</w:t>
            </w:r>
          </w:p>
          <w:p w14:paraId="446F2E8C" w14:textId="77777777" w:rsidR="00605DC5" w:rsidRDefault="00605DC5" w:rsidP="00561BFE">
            <w:pPr>
              <w:tabs>
                <w:tab w:val="left" w:pos="1860"/>
              </w:tabs>
              <w:spacing w:line="276" w:lineRule="auto"/>
              <w:rPr>
                <w:rFonts w:cs="Arial"/>
              </w:rPr>
            </w:pPr>
          </w:p>
          <w:p w14:paraId="1BBB02C4" w14:textId="55EA681B" w:rsidR="00605DC5" w:rsidRDefault="00605DC5" w:rsidP="00561BFE">
            <w:pPr>
              <w:tabs>
                <w:tab w:val="left" w:pos="1860"/>
              </w:tabs>
              <w:spacing w:line="276" w:lineRule="auto"/>
            </w:pPr>
            <w:r>
              <w:t>Support the development of system-level linked data sets to build population health analytics capabilities, including the extraction of anonymised, patient level data.</w:t>
            </w:r>
          </w:p>
        </w:tc>
      </w:tr>
      <w:tr w:rsidR="00605DC5" w:rsidRPr="003B7D3C" w14:paraId="15E0F327" w14:textId="77777777" w:rsidTr="007305A1">
        <w:tc>
          <w:tcPr>
            <w:tcW w:w="421" w:type="dxa"/>
          </w:tcPr>
          <w:p w14:paraId="658080D2" w14:textId="7C8E63E8" w:rsidR="00605DC5" w:rsidRDefault="00605DC5" w:rsidP="00561BFE">
            <w:pPr>
              <w:spacing w:line="276" w:lineRule="auto"/>
            </w:pPr>
            <w:r>
              <w:lastRenderedPageBreak/>
              <w:t>3</w:t>
            </w:r>
          </w:p>
        </w:tc>
        <w:tc>
          <w:tcPr>
            <w:tcW w:w="4254" w:type="dxa"/>
          </w:tcPr>
          <w:p w14:paraId="0E24ACF8" w14:textId="1CA8AD5A" w:rsidR="00605DC5" w:rsidRDefault="00605DC5" w:rsidP="00561BFE">
            <w:pPr>
              <w:spacing w:line="276" w:lineRule="auto"/>
              <w:rPr>
                <w:rFonts w:cs="Arial"/>
              </w:rPr>
            </w:pPr>
            <w:r>
              <w:t>From no later than 30 June 2020, identify a priority list of patients who are at rising risk of unwarranted health outcomes, based on the CCG standard approach where applicable</w:t>
            </w:r>
            <w:r>
              <w:rPr>
                <w:rFonts w:cs="Arial"/>
              </w:rPr>
              <w:t>.</w:t>
            </w:r>
          </w:p>
          <w:p w14:paraId="300C6AA8" w14:textId="77777777" w:rsidR="00605DC5" w:rsidRDefault="00605DC5" w:rsidP="00561BFE">
            <w:pPr>
              <w:spacing w:line="276" w:lineRule="auto"/>
            </w:pPr>
          </w:p>
          <w:p w14:paraId="67646A39" w14:textId="77777777" w:rsidR="00605DC5" w:rsidRDefault="00605DC5" w:rsidP="00561BFE">
            <w:pPr>
              <w:spacing w:line="276" w:lineRule="auto"/>
            </w:pPr>
            <w:r>
              <w:t>Prioritisation should</w:t>
            </w:r>
            <w:r w:rsidRPr="004A0551">
              <w:t xml:space="preserve"> </w:t>
            </w:r>
            <w:r>
              <w:t>focus upon:</w:t>
            </w:r>
          </w:p>
          <w:p w14:paraId="124BF995" w14:textId="5AFE1416"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i</w:t>
            </w:r>
            <w:r w:rsidR="00605DC5" w:rsidRPr="00DE122F">
              <w:rPr>
                <w:rFonts w:eastAsia="HGSMinchoE"/>
                <w:szCs w:val="24"/>
              </w:rPr>
              <w:t xml:space="preserve">ndividuals with </w:t>
            </w:r>
            <w:r w:rsidR="00605DC5">
              <w:rPr>
                <w:rFonts w:eastAsia="HGSMinchoE"/>
                <w:szCs w:val="24"/>
              </w:rPr>
              <w:t>complex needs: including multiple long-term conditions and/or with frailty.</w:t>
            </w:r>
          </w:p>
          <w:p w14:paraId="07B279B0" w14:textId="4A5F044E"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t</w:t>
            </w:r>
            <w:r w:rsidR="00605DC5" w:rsidRPr="00DE122F">
              <w:rPr>
                <w:rFonts w:eastAsia="HGSMinchoE"/>
                <w:szCs w:val="24"/>
              </w:rPr>
              <w:t xml:space="preserve">hose that are amenable to improvement through multi-disciplinary intervention and </w:t>
            </w:r>
          </w:p>
          <w:p w14:paraId="64F2FD06" w14:textId="1FA5C366"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t</w:t>
            </w:r>
            <w:r w:rsidR="00605DC5" w:rsidRPr="00DE122F">
              <w:rPr>
                <w:rFonts w:eastAsia="HGSMinchoE"/>
                <w:szCs w:val="24"/>
              </w:rPr>
              <w:t>hose that are at high risk of their condition progressing or circumstances or needs substantially changing within the next six months.</w:t>
            </w:r>
          </w:p>
          <w:p w14:paraId="58E1AFD6" w14:textId="77777777" w:rsidR="00605DC5" w:rsidRDefault="00605DC5" w:rsidP="00561BFE">
            <w:pPr>
              <w:spacing w:line="276" w:lineRule="auto"/>
            </w:pPr>
          </w:p>
          <w:p w14:paraId="65238AB8" w14:textId="77777777" w:rsidR="00605DC5" w:rsidRDefault="00605DC5" w:rsidP="00561BFE">
            <w:pPr>
              <w:pStyle w:val="ListParagraph"/>
              <w:spacing w:line="276" w:lineRule="auto"/>
              <w:ind w:left="0"/>
            </w:pPr>
          </w:p>
        </w:tc>
        <w:tc>
          <w:tcPr>
            <w:tcW w:w="4255" w:type="dxa"/>
          </w:tcPr>
          <w:p w14:paraId="1F8D96DA" w14:textId="0D2A0612" w:rsidR="00605DC5" w:rsidRPr="00A3584C" w:rsidRDefault="00605DC5" w:rsidP="00561BFE">
            <w:pPr>
              <w:spacing w:line="276" w:lineRule="auto"/>
              <w:rPr>
                <w:rFonts w:cs="Arial"/>
              </w:rPr>
            </w:pPr>
            <w:r>
              <w:rPr>
                <w:rFonts w:cs="Arial"/>
              </w:rPr>
              <w:t xml:space="preserve">From no later than 30 June 2020, support the prioritisation of a target cohort of patients based on </w:t>
            </w:r>
            <w:r w:rsidRPr="000E067F">
              <w:t>professional judgement</w:t>
            </w:r>
            <w:r w:rsidR="008644B4">
              <w:t xml:space="preserve"> and/or validated tools</w:t>
            </w:r>
            <w:r>
              <w:t>.</w:t>
            </w:r>
            <w:r w:rsidRPr="000E067F">
              <w:t xml:space="preserve"> </w:t>
            </w:r>
          </w:p>
        </w:tc>
      </w:tr>
      <w:tr w:rsidR="00605DC5" w:rsidRPr="003B7D3C" w14:paraId="687AD7D0" w14:textId="77777777" w:rsidTr="007305A1">
        <w:tc>
          <w:tcPr>
            <w:tcW w:w="421" w:type="dxa"/>
          </w:tcPr>
          <w:p w14:paraId="1FBEC206" w14:textId="599A85B7" w:rsidR="00605DC5" w:rsidRDefault="00605DC5" w:rsidP="00561BFE">
            <w:pPr>
              <w:spacing w:line="276" w:lineRule="auto"/>
            </w:pPr>
            <w:r>
              <w:t>4</w:t>
            </w:r>
          </w:p>
        </w:tc>
        <w:tc>
          <w:tcPr>
            <w:tcW w:w="4254" w:type="dxa"/>
          </w:tcPr>
          <w:p w14:paraId="71DCDD5B" w14:textId="07C30F09" w:rsidR="00605DC5" w:rsidRDefault="00605DC5" w:rsidP="00561BFE">
            <w:pPr>
              <w:spacing w:line="276" w:lineRule="auto"/>
            </w:pPr>
            <w:bookmarkStart w:id="17" w:name="_Hlk26283821"/>
            <w:r>
              <w:t xml:space="preserve">From no later than 30 June 2020, establish and manage an MDT, to meet regularly </w:t>
            </w:r>
            <w:r w:rsidRPr="00024606">
              <w:t>to</w:t>
            </w:r>
            <w:r>
              <w:t xml:space="preserve"> coordinate and manage the care of the cohort of people on the Anticipatory Care list.</w:t>
            </w:r>
          </w:p>
          <w:p w14:paraId="4124E31F" w14:textId="77777777" w:rsidR="00605DC5" w:rsidRDefault="00605DC5" w:rsidP="00561BFE">
            <w:pPr>
              <w:spacing w:line="276" w:lineRule="auto"/>
            </w:pPr>
          </w:p>
        </w:tc>
        <w:tc>
          <w:tcPr>
            <w:tcW w:w="4255" w:type="dxa"/>
          </w:tcPr>
          <w:p w14:paraId="3F29E7DD" w14:textId="5045940F" w:rsidR="00605DC5" w:rsidRPr="00024606" w:rsidRDefault="00605DC5" w:rsidP="00561BFE">
            <w:pPr>
              <w:spacing w:line="276" w:lineRule="auto"/>
              <w:rPr>
                <w:rFonts w:cs="Arial"/>
              </w:rPr>
            </w:pPr>
            <w:r>
              <w:t>From no later than 30 June 2020</w:t>
            </w:r>
            <w:r>
              <w:rPr>
                <w:rFonts w:cs="Arial"/>
              </w:rPr>
              <w:t>, a</w:t>
            </w:r>
            <w:r w:rsidRPr="00024606">
              <w:rPr>
                <w:rFonts w:cs="Arial"/>
              </w:rPr>
              <w:t xml:space="preserve">lign relevant community nursing and therapy staff to </w:t>
            </w:r>
            <w:r>
              <w:rPr>
                <w:rFonts w:cs="Arial"/>
              </w:rPr>
              <w:t>the local PCN</w:t>
            </w:r>
            <w:r w:rsidRPr="00024606">
              <w:rPr>
                <w:rFonts w:cs="Arial"/>
              </w:rPr>
              <w:t xml:space="preserve"> and identify other professions that may need to be involved in the MDT discussion.</w:t>
            </w:r>
          </w:p>
          <w:p w14:paraId="45B0EDB0" w14:textId="77777777" w:rsidR="00605DC5" w:rsidRPr="00024606" w:rsidRDefault="00605DC5" w:rsidP="00561BFE">
            <w:pPr>
              <w:spacing w:line="276" w:lineRule="auto"/>
              <w:rPr>
                <w:rFonts w:eastAsia="Times New Roman" w:cs="Arial"/>
                <w:szCs w:val="26"/>
              </w:rPr>
            </w:pPr>
          </w:p>
          <w:p w14:paraId="2F9B6210" w14:textId="77777777" w:rsidR="00605DC5" w:rsidRPr="00024606" w:rsidRDefault="00605DC5" w:rsidP="00561BFE">
            <w:pPr>
              <w:spacing w:line="276" w:lineRule="auto"/>
              <w:rPr>
                <w:rFonts w:cs="Arial"/>
              </w:rPr>
            </w:pPr>
          </w:p>
          <w:p w14:paraId="770DD394" w14:textId="77777777" w:rsidR="00605DC5" w:rsidRDefault="00605DC5" w:rsidP="00561BFE">
            <w:pPr>
              <w:spacing w:line="276" w:lineRule="auto"/>
              <w:rPr>
                <w:rFonts w:cs="Arial"/>
              </w:rPr>
            </w:pPr>
            <w:r w:rsidRPr="00024606">
              <w:rPr>
                <w:rFonts w:cs="Arial"/>
              </w:rPr>
              <w:t>Attend and participate in the MDT discussion – using available information to plan and co-ordinate the care of patients discussed.</w:t>
            </w:r>
          </w:p>
        </w:tc>
      </w:tr>
      <w:tr w:rsidR="00605DC5" w:rsidRPr="003B7D3C" w14:paraId="03B16CC4" w14:textId="77777777" w:rsidTr="007305A1">
        <w:tc>
          <w:tcPr>
            <w:tcW w:w="421" w:type="dxa"/>
          </w:tcPr>
          <w:p w14:paraId="75A4507E" w14:textId="64035B6A" w:rsidR="00605DC5" w:rsidRDefault="00605DC5" w:rsidP="00561BFE">
            <w:pPr>
              <w:spacing w:line="276" w:lineRule="auto"/>
            </w:pPr>
            <w:r>
              <w:t>5</w:t>
            </w:r>
          </w:p>
        </w:tc>
        <w:bookmarkEnd w:id="17"/>
        <w:tc>
          <w:tcPr>
            <w:tcW w:w="4254" w:type="dxa"/>
          </w:tcPr>
          <w:p w14:paraId="4BB63AED" w14:textId="184DDCD7" w:rsidR="00605DC5" w:rsidRDefault="00605DC5" w:rsidP="00561BFE">
            <w:pPr>
              <w:spacing w:line="276" w:lineRule="auto"/>
            </w:pPr>
            <w:r>
              <w:t xml:space="preserve">From no later than 30 June 2020, co-ordinate and deliver comprehensive needs assessments, targeted needs </w:t>
            </w:r>
            <w:r>
              <w:lastRenderedPageBreak/>
              <w:t xml:space="preserve">assessments or care co-ordination reviews for the people in this cohort, recording this activity and the person’s individual goals in a personalised care and support plan. </w:t>
            </w:r>
          </w:p>
          <w:p w14:paraId="28FF734F" w14:textId="77777777" w:rsidR="00605DC5" w:rsidRDefault="00605DC5" w:rsidP="00561BFE">
            <w:pPr>
              <w:spacing w:line="276" w:lineRule="auto"/>
            </w:pPr>
          </w:p>
        </w:tc>
        <w:tc>
          <w:tcPr>
            <w:tcW w:w="4255" w:type="dxa"/>
          </w:tcPr>
          <w:p w14:paraId="6AF7760A" w14:textId="5DE672A1" w:rsidR="00605DC5" w:rsidRPr="00E1492C" w:rsidRDefault="00605DC5" w:rsidP="00561BFE">
            <w:pPr>
              <w:spacing w:line="276" w:lineRule="auto"/>
              <w:rPr>
                <w:rFonts w:cs="Arial"/>
              </w:rPr>
            </w:pPr>
            <w:r>
              <w:lastRenderedPageBreak/>
              <w:t>From no later than 30 June 2020</w:t>
            </w:r>
            <w:r>
              <w:rPr>
                <w:rFonts w:cs="Arial"/>
              </w:rPr>
              <w:t>, c</w:t>
            </w:r>
            <w:r w:rsidRPr="00E1492C">
              <w:rPr>
                <w:rFonts w:cs="Arial"/>
              </w:rPr>
              <w:t>o</w:t>
            </w:r>
            <w:r>
              <w:rPr>
                <w:rFonts w:cs="Arial"/>
              </w:rPr>
              <w:t>-</w:t>
            </w:r>
            <w:r w:rsidRPr="00E1492C">
              <w:rPr>
                <w:rFonts w:cs="Arial"/>
              </w:rPr>
              <w:t>ordinate</w:t>
            </w:r>
            <w:r>
              <w:rPr>
                <w:rFonts w:cs="Arial"/>
              </w:rPr>
              <w:t xml:space="preserve"> and deliver constituent parts </w:t>
            </w:r>
            <w:r>
              <w:rPr>
                <w:rFonts w:cs="Arial"/>
              </w:rPr>
              <w:lastRenderedPageBreak/>
              <w:t>of</w:t>
            </w:r>
            <w:r w:rsidRPr="00E1492C">
              <w:rPr>
                <w:rFonts w:cs="Arial"/>
              </w:rPr>
              <w:t xml:space="preserve"> comprehensive</w:t>
            </w:r>
            <w:r>
              <w:rPr>
                <w:rFonts w:cs="Arial"/>
              </w:rPr>
              <w:t xml:space="preserve"> and targeted</w:t>
            </w:r>
            <w:r w:rsidRPr="00E1492C">
              <w:rPr>
                <w:rFonts w:cs="Arial"/>
              </w:rPr>
              <w:t xml:space="preserve"> needs assessments with the PCN.</w:t>
            </w:r>
          </w:p>
          <w:p w14:paraId="32783D64" w14:textId="77777777" w:rsidR="00605DC5" w:rsidRPr="00E1492C" w:rsidRDefault="00605DC5" w:rsidP="00561BFE">
            <w:pPr>
              <w:spacing w:line="276" w:lineRule="auto"/>
              <w:rPr>
                <w:rFonts w:cs="Arial"/>
              </w:rPr>
            </w:pPr>
          </w:p>
          <w:p w14:paraId="49D80490" w14:textId="77777777" w:rsidR="00605DC5" w:rsidRDefault="00605DC5" w:rsidP="00561BFE">
            <w:pPr>
              <w:spacing w:line="276" w:lineRule="auto"/>
              <w:rPr>
                <w:rFonts w:cs="Arial"/>
              </w:rPr>
            </w:pPr>
          </w:p>
          <w:p w14:paraId="7F33DCFA" w14:textId="5A50BDE8" w:rsidR="00605DC5" w:rsidRPr="00024606" w:rsidRDefault="00605DC5" w:rsidP="00561BFE">
            <w:pPr>
              <w:spacing w:line="276" w:lineRule="auto"/>
              <w:rPr>
                <w:rFonts w:cs="Arial"/>
              </w:rPr>
            </w:pPr>
            <w:r>
              <w:rPr>
                <w:rFonts w:cs="Arial"/>
              </w:rPr>
              <w:t>Develop or add to care and support plans</w:t>
            </w:r>
            <w:r w:rsidRPr="00024606">
              <w:rPr>
                <w:rFonts w:cs="Arial"/>
              </w:rPr>
              <w:t xml:space="preserve"> for the individuals wh</w:t>
            </w:r>
            <w:r>
              <w:rPr>
                <w:rFonts w:cs="Arial"/>
              </w:rPr>
              <w:t>ich</w:t>
            </w:r>
            <w:r w:rsidRPr="00024606">
              <w:rPr>
                <w:rFonts w:cs="Arial"/>
              </w:rPr>
              <w:t xml:space="preserve"> </w:t>
            </w:r>
            <w:r>
              <w:rPr>
                <w:rFonts w:cs="Arial"/>
              </w:rPr>
              <w:t>the MDT identifies should</w:t>
            </w:r>
            <w:r w:rsidRPr="00024606">
              <w:rPr>
                <w:rFonts w:cs="Arial"/>
              </w:rPr>
              <w:t xml:space="preserve"> be supported by community health professionals</w:t>
            </w:r>
          </w:p>
        </w:tc>
      </w:tr>
      <w:tr w:rsidR="00605DC5" w:rsidRPr="003B7D3C" w14:paraId="381ED8E2" w14:textId="77777777" w:rsidTr="007305A1">
        <w:tc>
          <w:tcPr>
            <w:tcW w:w="421" w:type="dxa"/>
          </w:tcPr>
          <w:p w14:paraId="0AA7FEF4" w14:textId="125D3867" w:rsidR="00605DC5" w:rsidRDefault="00605DC5" w:rsidP="00561BFE">
            <w:pPr>
              <w:spacing w:line="276" w:lineRule="auto"/>
            </w:pPr>
            <w:r>
              <w:lastRenderedPageBreak/>
              <w:t>6</w:t>
            </w:r>
          </w:p>
        </w:tc>
        <w:tc>
          <w:tcPr>
            <w:tcW w:w="4254" w:type="dxa"/>
          </w:tcPr>
          <w:p w14:paraId="48A65E1D" w14:textId="6CC87CE7" w:rsidR="00605DC5" w:rsidRDefault="00605DC5" w:rsidP="00561BFE">
            <w:pPr>
              <w:spacing w:line="276" w:lineRule="auto"/>
            </w:pPr>
            <w:r>
              <w:t xml:space="preserve">From no later than 30 June 2020, coordinate the delivery of support offers as identified by the </w:t>
            </w:r>
            <w:proofErr w:type="gramStart"/>
            <w:r>
              <w:t>needs</w:t>
            </w:r>
            <w:proofErr w:type="gramEnd"/>
            <w:r>
              <w:t xml:space="preserve"> assessment and the patient’s personal goals. Via the responsible lead, retain overall clinical responsibility for the delivery of this plan.</w:t>
            </w:r>
          </w:p>
          <w:p w14:paraId="3175603E" w14:textId="77777777" w:rsidR="00605DC5" w:rsidRDefault="00605DC5" w:rsidP="00561BFE">
            <w:pPr>
              <w:spacing w:line="276" w:lineRule="auto"/>
            </w:pPr>
          </w:p>
          <w:p w14:paraId="7EF9FEF7" w14:textId="77777777" w:rsidR="00605DC5" w:rsidRDefault="00605DC5" w:rsidP="00561BFE">
            <w:pPr>
              <w:spacing w:line="276" w:lineRule="auto"/>
            </w:pPr>
            <w:bookmarkStart w:id="18" w:name="_Hlk23204942"/>
            <w:r>
              <w:t xml:space="preserve">The available support offers must include </w:t>
            </w:r>
            <w:r w:rsidRPr="00024606">
              <w:rPr>
                <w:rFonts w:cs="Arial"/>
              </w:rPr>
              <w:t>(not exhaustive):</w:t>
            </w:r>
          </w:p>
          <w:p w14:paraId="57B73EC4" w14:textId="55CD77AD"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m</w:t>
            </w:r>
            <w:r w:rsidR="00605DC5" w:rsidRPr="007305A1">
              <w:rPr>
                <w:rFonts w:eastAsia="HGSMinchoE"/>
                <w:szCs w:val="24"/>
              </w:rPr>
              <w:t>edicines optimisation to address problematic polypharmacy, in line with the process established in the SMR specification</w:t>
            </w:r>
          </w:p>
          <w:p w14:paraId="2BEFDAEB" w14:textId="142FF332"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s</w:t>
            </w:r>
            <w:r w:rsidR="00605DC5" w:rsidRPr="007305A1">
              <w:rPr>
                <w:rFonts w:eastAsia="HGSMinchoE"/>
                <w:szCs w:val="24"/>
              </w:rPr>
              <w:t>ocial prescription using a broad range of community assets to support well-being and address loneliness and isolation</w:t>
            </w:r>
          </w:p>
          <w:p w14:paraId="2BAE2A8F" w14:textId="7F0A2F05"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c</w:t>
            </w:r>
            <w:r w:rsidR="00605DC5" w:rsidRPr="007305A1">
              <w:rPr>
                <w:rFonts w:eastAsia="HGSMinchoE"/>
                <w:szCs w:val="24"/>
              </w:rPr>
              <w:t>arer identification and signposting to local support</w:t>
            </w:r>
          </w:p>
          <w:p w14:paraId="53A38AD6" w14:textId="4F3B2D2F"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nnual comprehensive or targeted needs assessment for other validated cohorts with complex needs.</w:t>
            </w:r>
          </w:p>
          <w:p w14:paraId="44121A3F" w14:textId="5C503E6E"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nnual care coordination review for other validated cohorts with complex needs.</w:t>
            </w:r>
          </w:p>
          <w:p w14:paraId="0585A8F3" w14:textId="4D76D3C5"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doption of patient activation measures</w:t>
            </w:r>
          </w:p>
          <w:p w14:paraId="73AF1F62" w14:textId="3C5A3934"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n</w:t>
            </w:r>
            <w:r w:rsidR="00605DC5" w:rsidRPr="007305A1">
              <w:rPr>
                <w:rFonts w:eastAsia="HGSMinchoE"/>
                <w:szCs w:val="24"/>
              </w:rPr>
              <w:t>on-medical interventions from the personalised care and support plan</w:t>
            </w:r>
          </w:p>
          <w:bookmarkEnd w:id="18"/>
          <w:p w14:paraId="2053D9C8" w14:textId="77777777" w:rsidR="00605DC5" w:rsidRDefault="00605DC5" w:rsidP="00561BFE">
            <w:pPr>
              <w:tabs>
                <w:tab w:val="left" w:pos="1860"/>
              </w:tabs>
              <w:spacing w:line="276" w:lineRule="auto"/>
            </w:pPr>
          </w:p>
          <w:p w14:paraId="4BD685C7" w14:textId="77777777" w:rsidR="00605DC5" w:rsidRDefault="00605DC5" w:rsidP="00561BFE">
            <w:pPr>
              <w:spacing w:line="276" w:lineRule="auto"/>
            </w:pPr>
          </w:p>
        </w:tc>
        <w:tc>
          <w:tcPr>
            <w:tcW w:w="4255" w:type="dxa"/>
          </w:tcPr>
          <w:p w14:paraId="7FD6FF00" w14:textId="626C91C4" w:rsidR="00605DC5" w:rsidRPr="00024606" w:rsidRDefault="00605DC5" w:rsidP="00561BFE">
            <w:pPr>
              <w:spacing w:line="276" w:lineRule="auto"/>
              <w:rPr>
                <w:rFonts w:cs="Arial"/>
              </w:rPr>
            </w:pPr>
            <w:r>
              <w:t>From no later than 30 June 2020</w:t>
            </w:r>
            <w:r>
              <w:rPr>
                <w:rFonts w:cs="Arial"/>
              </w:rPr>
              <w:t>, c</w:t>
            </w:r>
            <w:r w:rsidRPr="00E1492C">
              <w:rPr>
                <w:rFonts w:cs="Arial"/>
              </w:rPr>
              <w:t xml:space="preserve">o-ordinate </w:t>
            </w:r>
            <w:r w:rsidRPr="00024606">
              <w:rPr>
                <w:rFonts w:cs="Arial"/>
              </w:rPr>
              <w:t>support offers if locally a</w:t>
            </w:r>
            <w:r>
              <w:rPr>
                <w:rFonts w:cs="Arial"/>
              </w:rPr>
              <w:t>greed.</w:t>
            </w:r>
          </w:p>
          <w:p w14:paraId="7601AFCA" w14:textId="77777777" w:rsidR="00605DC5" w:rsidRPr="00024606" w:rsidRDefault="00605DC5" w:rsidP="00561BFE">
            <w:pPr>
              <w:spacing w:line="276" w:lineRule="auto"/>
              <w:rPr>
                <w:rFonts w:cs="Arial"/>
              </w:rPr>
            </w:pPr>
          </w:p>
          <w:p w14:paraId="39C1BDE9" w14:textId="77777777" w:rsidR="00605DC5" w:rsidRPr="00024606" w:rsidRDefault="00605DC5" w:rsidP="00561BFE">
            <w:pPr>
              <w:spacing w:line="276" w:lineRule="auto"/>
              <w:rPr>
                <w:rFonts w:cs="Arial"/>
              </w:rPr>
            </w:pPr>
            <w:r w:rsidRPr="00024606">
              <w:rPr>
                <w:rFonts w:cs="Arial"/>
              </w:rPr>
              <w:t xml:space="preserve">Deliver relevant support offers as </w:t>
            </w:r>
            <w:r>
              <w:rPr>
                <w:rFonts w:cs="Arial"/>
              </w:rPr>
              <w:t>identified in the patient’s needs assessment and care and support plan</w:t>
            </w:r>
            <w:r w:rsidRPr="00024606">
              <w:rPr>
                <w:rFonts w:cs="Arial"/>
              </w:rPr>
              <w:t>, to include (not exhaustive):</w:t>
            </w:r>
          </w:p>
          <w:p w14:paraId="589F7247" w14:textId="77777777" w:rsidR="00605DC5" w:rsidRPr="00024606" w:rsidRDefault="00605DC5" w:rsidP="00561BFE">
            <w:pPr>
              <w:spacing w:line="276" w:lineRule="auto"/>
              <w:rPr>
                <w:rFonts w:cs="Arial"/>
              </w:rPr>
            </w:pPr>
          </w:p>
          <w:p w14:paraId="77EFF770" w14:textId="088485C1" w:rsidR="00605DC5" w:rsidRPr="007C1737" w:rsidRDefault="000C6C5B" w:rsidP="00561BFE">
            <w:pPr>
              <w:pStyle w:val="ListParagraph"/>
              <w:numPr>
                <w:ilvl w:val="0"/>
                <w:numId w:val="69"/>
              </w:numPr>
              <w:spacing w:line="276" w:lineRule="auto"/>
            </w:pPr>
            <w:r>
              <w:t>f</w:t>
            </w:r>
            <w:r w:rsidR="00605DC5" w:rsidRPr="007C1737">
              <w:t>all risk assessment and intervention including bone health management</w:t>
            </w:r>
            <w:r w:rsidR="00605DC5">
              <w:t xml:space="preserve"> </w:t>
            </w:r>
            <w:r w:rsidR="00605DC5" w:rsidRPr="0063138B">
              <w:t>and strength and balance training</w:t>
            </w:r>
          </w:p>
          <w:p w14:paraId="4BF4883C" w14:textId="69CE8EDE" w:rsidR="00605DC5" w:rsidRPr="00024606" w:rsidRDefault="000C6C5B" w:rsidP="00561BFE">
            <w:pPr>
              <w:pStyle w:val="ListParagraph"/>
              <w:numPr>
                <w:ilvl w:val="0"/>
                <w:numId w:val="69"/>
              </w:numPr>
              <w:spacing w:line="276" w:lineRule="auto"/>
              <w:rPr>
                <w:rFonts w:cs="Arial"/>
              </w:rPr>
            </w:pPr>
            <w:r>
              <w:rPr>
                <w:rFonts w:eastAsia="HGSMinchoE" w:cs="Arial"/>
                <w:szCs w:val="24"/>
              </w:rPr>
              <w:t>r</w:t>
            </w:r>
            <w:r w:rsidR="00605DC5" w:rsidRPr="00024606">
              <w:rPr>
                <w:rFonts w:eastAsia="HGSMinchoE" w:cs="Arial"/>
                <w:szCs w:val="24"/>
              </w:rPr>
              <w:t>ehabilitation services</w:t>
            </w:r>
          </w:p>
          <w:p w14:paraId="7F1B4C12" w14:textId="5B23855E" w:rsidR="00605DC5" w:rsidRPr="00024606" w:rsidRDefault="000C6C5B" w:rsidP="00561BFE">
            <w:pPr>
              <w:pStyle w:val="ListParagraph"/>
              <w:numPr>
                <w:ilvl w:val="0"/>
                <w:numId w:val="69"/>
              </w:numPr>
              <w:spacing w:line="276" w:lineRule="auto"/>
              <w:rPr>
                <w:rFonts w:cs="Arial"/>
              </w:rPr>
            </w:pPr>
            <w:r>
              <w:rPr>
                <w:rFonts w:eastAsia="HGSMinchoE" w:cs="Arial"/>
                <w:szCs w:val="24"/>
              </w:rPr>
              <w:t>c</w:t>
            </w:r>
            <w:r w:rsidR="00605DC5" w:rsidRPr="00024606">
              <w:rPr>
                <w:rFonts w:eastAsia="HGSMinchoE" w:cs="Arial"/>
                <w:szCs w:val="24"/>
              </w:rPr>
              <w:t>ontinence services</w:t>
            </w:r>
          </w:p>
          <w:p w14:paraId="55424C6B" w14:textId="7A724E93" w:rsidR="00605DC5" w:rsidRPr="00024606" w:rsidRDefault="000C6C5B" w:rsidP="00561BFE">
            <w:pPr>
              <w:pStyle w:val="ListParagraph"/>
              <w:numPr>
                <w:ilvl w:val="0"/>
                <w:numId w:val="69"/>
              </w:numPr>
              <w:spacing w:line="276" w:lineRule="auto"/>
              <w:rPr>
                <w:rFonts w:cs="Arial"/>
              </w:rPr>
            </w:pPr>
            <w:r>
              <w:rPr>
                <w:rFonts w:eastAsia="HGSMinchoE" w:cs="Arial"/>
                <w:szCs w:val="24"/>
              </w:rPr>
              <w:t>t</w:t>
            </w:r>
            <w:r w:rsidR="00605DC5" w:rsidRPr="00024606">
              <w:rPr>
                <w:rFonts w:eastAsia="HGSMinchoE" w:cs="Arial"/>
                <w:szCs w:val="24"/>
              </w:rPr>
              <w:t>issue viability service</w:t>
            </w:r>
          </w:p>
          <w:p w14:paraId="6B7A84B4" w14:textId="60FDEEEB" w:rsidR="00605DC5" w:rsidRPr="005E5791" w:rsidRDefault="000C6C5B" w:rsidP="00561BFE">
            <w:pPr>
              <w:pStyle w:val="ListParagraph"/>
              <w:numPr>
                <w:ilvl w:val="0"/>
                <w:numId w:val="69"/>
              </w:numPr>
              <w:spacing w:line="276" w:lineRule="auto"/>
              <w:rPr>
                <w:rFonts w:cs="Arial"/>
              </w:rPr>
            </w:pPr>
            <w:r>
              <w:rPr>
                <w:rFonts w:eastAsia="HGSMinchoE" w:cs="Arial"/>
                <w:szCs w:val="24"/>
              </w:rPr>
              <w:t>c</w:t>
            </w:r>
            <w:r w:rsidR="00605DC5" w:rsidRPr="00024606">
              <w:rPr>
                <w:rFonts w:eastAsia="HGSMinchoE" w:cs="Arial"/>
                <w:szCs w:val="24"/>
              </w:rPr>
              <w:t>are co-ordination</w:t>
            </w:r>
          </w:p>
          <w:p w14:paraId="5641D371" w14:textId="53E9E8F7" w:rsidR="00605DC5" w:rsidRPr="007C1737" w:rsidRDefault="000C6C5B" w:rsidP="00561BFE">
            <w:pPr>
              <w:pStyle w:val="ListParagraph"/>
              <w:numPr>
                <w:ilvl w:val="0"/>
                <w:numId w:val="69"/>
              </w:numPr>
              <w:spacing w:line="276" w:lineRule="auto"/>
            </w:pPr>
            <w:r>
              <w:t>m</w:t>
            </w:r>
            <w:r w:rsidR="00605DC5" w:rsidRPr="007C1737">
              <w:t>obility</w:t>
            </w:r>
            <w:r w:rsidR="00605DC5">
              <w:t xml:space="preserve"> assessment</w:t>
            </w:r>
          </w:p>
          <w:p w14:paraId="36597F2D" w14:textId="0E000396" w:rsidR="00605DC5" w:rsidRPr="007C1737" w:rsidRDefault="000C6C5B" w:rsidP="00561BFE">
            <w:pPr>
              <w:pStyle w:val="ListParagraph"/>
              <w:numPr>
                <w:ilvl w:val="0"/>
                <w:numId w:val="69"/>
              </w:numPr>
              <w:spacing w:line="276" w:lineRule="auto"/>
            </w:pPr>
            <w:r>
              <w:t>c</w:t>
            </w:r>
            <w:r w:rsidR="00605DC5" w:rsidRPr="007C1737">
              <w:t>ontinence</w:t>
            </w:r>
            <w:r w:rsidR="00605DC5">
              <w:t xml:space="preserve"> assessment (urinary and faecal)</w:t>
            </w:r>
          </w:p>
          <w:p w14:paraId="2270B51F" w14:textId="6C3157A7" w:rsidR="00605DC5" w:rsidRPr="007C1737" w:rsidRDefault="000C6C5B" w:rsidP="00561BFE">
            <w:pPr>
              <w:pStyle w:val="ListParagraph"/>
              <w:numPr>
                <w:ilvl w:val="0"/>
                <w:numId w:val="69"/>
              </w:numPr>
              <w:spacing w:line="276" w:lineRule="auto"/>
            </w:pPr>
            <w:r>
              <w:t>c</w:t>
            </w:r>
            <w:r w:rsidR="00605DC5" w:rsidRPr="007C1737">
              <w:t>arer identification and signposting to local support</w:t>
            </w:r>
          </w:p>
          <w:p w14:paraId="58E11C95" w14:textId="63373813" w:rsidR="00605DC5" w:rsidRPr="007C1737" w:rsidRDefault="000C6C5B" w:rsidP="00561BFE">
            <w:pPr>
              <w:pStyle w:val="ListParagraph"/>
              <w:numPr>
                <w:ilvl w:val="0"/>
                <w:numId w:val="69"/>
              </w:numPr>
              <w:spacing w:line="276" w:lineRule="auto"/>
            </w:pPr>
            <w:r>
              <w:t>a</w:t>
            </w:r>
            <w:r w:rsidR="00605DC5" w:rsidRPr="007C1737">
              <w:t>nnual comprehensive or targeted needs assessment for other validated cohorts with complex needs.</w:t>
            </w:r>
          </w:p>
          <w:p w14:paraId="4F12746B" w14:textId="3851FD4E" w:rsidR="00605DC5" w:rsidRPr="00024606" w:rsidRDefault="000C6C5B" w:rsidP="00561BFE">
            <w:pPr>
              <w:pStyle w:val="ListParagraph"/>
              <w:numPr>
                <w:ilvl w:val="0"/>
                <w:numId w:val="69"/>
              </w:numPr>
              <w:spacing w:line="276" w:lineRule="auto"/>
              <w:rPr>
                <w:rFonts w:cs="Arial"/>
              </w:rPr>
            </w:pPr>
            <w:r>
              <w:t>a</w:t>
            </w:r>
            <w:r w:rsidR="00605DC5" w:rsidRPr="007C1737">
              <w:t>nnual care coordination review for other validated cohorts with complex needs.</w:t>
            </w:r>
          </w:p>
          <w:p w14:paraId="1209031E" w14:textId="1BD02971" w:rsidR="00605DC5" w:rsidRPr="000E6BBD" w:rsidRDefault="000C6C5B" w:rsidP="00561BFE">
            <w:pPr>
              <w:pStyle w:val="ListParagraph"/>
              <w:numPr>
                <w:ilvl w:val="0"/>
                <w:numId w:val="69"/>
              </w:numPr>
              <w:spacing w:line="276" w:lineRule="auto"/>
            </w:pPr>
            <w:r>
              <w:t>r</w:t>
            </w:r>
            <w:r w:rsidR="00605DC5">
              <w:t>elevant outreach services for hard to reach groups and those with protected characteristics.</w:t>
            </w:r>
          </w:p>
          <w:p w14:paraId="7EC94BFE" w14:textId="77777777" w:rsidR="00605DC5" w:rsidRPr="00024606" w:rsidRDefault="00605DC5" w:rsidP="00561BFE">
            <w:pPr>
              <w:spacing w:line="276" w:lineRule="auto"/>
              <w:rPr>
                <w:rFonts w:cs="Arial"/>
              </w:rPr>
            </w:pPr>
          </w:p>
          <w:p w14:paraId="0B755506" w14:textId="10A612D8" w:rsidR="00605DC5" w:rsidRPr="007C1737" w:rsidRDefault="000C6C5B" w:rsidP="00561BFE">
            <w:pPr>
              <w:pStyle w:val="ListParagraph"/>
              <w:numPr>
                <w:ilvl w:val="0"/>
                <w:numId w:val="69"/>
              </w:numPr>
              <w:spacing w:line="276" w:lineRule="auto"/>
            </w:pPr>
            <w:r>
              <w:t>m</w:t>
            </w:r>
            <w:r w:rsidR="00605DC5" w:rsidRPr="007C1737">
              <w:t xml:space="preserve">ental </w:t>
            </w:r>
            <w:r>
              <w:t>h</w:t>
            </w:r>
            <w:r w:rsidR="00605DC5" w:rsidRPr="007C1737">
              <w:t xml:space="preserve">ealth assessment and interventions to identify and </w:t>
            </w:r>
            <w:r w:rsidR="00605DC5" w:rsidRPr="007C1737">
              <w:lastRenderedPageBreak/>
              <w:t>manage depression and anxiety</w:t>
            </w:r>
            <w:r w:rsidR="00605DC5">
              <w:t xml:space="preserve">, </w:t>
            </w:r>
            <w:r w:rsidR="00605DC5" w:rsidRPr="0063138B">
              <w:t>including IAPT</w:t>
            </w:r>
          </w:p>
          <w:p w14:paraId="2F4B8380" w14:textId="488D7006" w:rsidR="00605DC5" w:rsidRDefault="000C6C5B" w:rsidP="00561BFE">
            <w:pPr>
              <w:pStyle w:val="ListParagraph"/>
              <w:numPr>
                <w:ilvl w:val="0"/>
                <w:numId w:val="69"/>
              </w:numPr>
              <w:spacing w:line="276" w:lineRule="auto"/>
            </w:pPr>
            <w:r>
              <w:t>c</w:t>
            </w:r>
            <w:r w:rsidR="00605DC5" w:rsidRPr="007C1737">
              <w:t>ognitive assessment (to identify dementia and delirium risk) and post diagnosis dementia support (including cognitive stimulation therapy and cognitive rehabilitation therapy)</w:t>
            </w:r>
            <w:r w:rsidR="00605DC5">
              <w:t>.</w:t>
            </w:r>
          </w:p>
          <w:p w14:paraId="7F008170" w14:textId="77777777" w:rsidR="00605DC5" w:rsidRPr="00024606" w:rsidRDefault="00605DC5" w:rsidP="00561BFE">
            <w:pPr>
              <w:pStyle w:val="ListParagraph"/>
              <w:spacing w:line="276" w:lineRule="auto"/>
              <w:rPr>
                <w:rFonts w:cs="Arial"/>
              </w:rPr>
            </w:pPr>
          </w:p>
          <w:p w14:paraId="5172B1E1" w14:textId="471ED03B" w:rsidR="00605DC5" w:rsidRPr="00E1492C" w:rsidRDefault="00605DC5" w:rsidP="00561BFE">
            <w:pPr>
              <w:spacing w:line="276" w:lineRule="auto"/>
              <w:rPr>
                <w:rFonts w:cs="Arial"/>
              </w:rPr>
            </w:pPr>
            <w:r w:rsidRPr="00024606">
              <w:rPr>
                <w:rFonts w:cs="Arial"/>
              </w:rPr>
              <w:t>Deliver annual review of those patients actively supported by community health providers (especially those patients who are</w:t>
            </w:r>
            <w:r w:rsidR="00561BFE">
              <w:rPr>
                <w:rFonts w:cs="Arial"/>
              </w:rPr>
              <w:t xml:space="preserve"> </w:t>
            </w:r>
            <w:r>
              <w:rPr>
                <w:rFonts w:cs="Arial"/>
              </w:rPr>
              <w:t>housebound</w:t>
            </w:r>
            <w:r w:rsidRPr="00024606">
              <w:rPr>
                <w:rFonts w:cs="Arial"/>
              </w:rPr>
              <w:t>)</w:t>
            </w:r>
          </w:p>
        </w:tc>
      </w:tr>
    </w:tbl>
    <w:p w14:paraId="12732F45" w14:textId="77777777" w:rsidR="008E3A21" w:rsidRDefault="008E3A21" w:rsidP="00561BFE">
      <w:pPr>
        <w:spacing w:after="0" w:line="276" w:lineRule="auto"/>
      </w:pPr>
    </w:p>
    <w:bookmarkEnd w:id="15"/>
    <w:p w14:paraId="67E92362" w14:textId="3CC3837C" w:rsidR="004B2E1F" w:rsidRDefault="002D6C93" w:rsidP="00561BFE">
      <w:pPr>
        <w:spacing w:after="0" w:line="276" w:lineRule="auto"/>
        <w:rPr>
          <w:rFonts w:eastAsia="Times New Roman" w:cs="Times New Roman"/>
          <w:b/>
          <w:bCs/>
          <w:szCs w:val="26"/>
        </w:rPr>
      </w:pPr>
      <w:r>
        <w:rPr>
          <w:rFonts w:eastAsia="Times New Roman" w:cs="Times New Roman"/>
          <w:b/>
          <w:bCs/>
          <w:szCs w:val="26"/>
        </w:rPr>
        <w:t>Proposed m</w:t>
      </w:r>
      <w:r w:rsidR="00C1247B" w:rsidRPr="00C1247B">
        <w:rPr>
          <w:rFonts w:eastAsia="Times New Roman" w:cs="Times New Roman"/>
          <w:b/>
          <w:bCs/>
          <w:szCs w:val="26"/>
        </w:rPr>
        <w:t>etrics</w:t>
      </w:r>
    </w:p>
    <w:p w14:paraId="3397F58D" w14:textId="77777777" w:rsidR="006F594D" w:rsidRPr="00C1247B" w:rsidRDefault="006F594D" w:rsidP="00561BFE">
      <w:pPr>
        <w:spacing w:after="0" w:line="276" w:lineRule="auto"/>
        <w:rPr>
          <w:b/>
          <w:highlight w:val="yellow"/>
        </w:rPr>
      </w:pPr>
    </w:p>
    <w:p w14:paraId="75FF6514" w14:textId="77777777" w:rsidR="004B2E1F" w:rsidRDefault="004B2E1F" w:rsidP="00561BFE">
      <w:pPr>
        <w:pStyle w:val="ListParagraph"/>
        <w:numPr>
          <w:ilvl w:val="1"/>
          <w:numId w:val="31"/>
        </w:numPr>
        <w:spacing w:line="276" w:lineRule="auto"/>
      </w:pPr>
      <w:r w:rsidRPr="0051524C">
        <w:t>Potential metrics to monitor the success of the service include, but are not limited to:</w:t>
      </w:r>
    </w:p>
    <w:p w14:paraId="61D5A17B" w14:textId="77777777" w:rsidR="008478F3" w:rsidRDefault="008478F3" w:rsidP="00561BFE">
      <w:pPr>
        <w:spacing w:after="0"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1EC72F49" w14:textId="77777777" w:rsidTr="00DE52AD">
        <w:tc>
          <w:tcPr>
            <w:tcW w:w="551" w:type="dxa"/>
            <w:shd w:val="clear" w:color="auto" w:fill="4472C4" w:themeFill="accent1"/>
          </w:tcPr>
          <w:p w14:paraId="5BA0D734" w14:textId="77777777" w:rsidR="008478F3" w:rsidRDefault="008478F3" w:rsidP="00561BFE">
            <w:pPr>
              <w:pStyle w:val="ListParagraph"/>
              <w:spacing w:line="276" w:lineRule="auto"/>
              <w:ind w:left="0"/>
            </w:pPr>
          </w:p>
        </w:tc>
        <w:tc>
          <w:tcPr>
            <w:tcW w:w="7745" w:type="dxa"/>
            <w:shd w:val="clear" w:color="auto" w:fill="4472C4" w:themeFill="accent1"/>
          </w:tcPr>
          <w:p w14:paraId="446CD8D5" w14:textId="77777777" w:rsidR="008478F3" w:rsidRPr="008478F3" w:rsidRDefault="008478F3" w:rsidP="00561BFE">
            <w:pPr>
              <w:spacing w:line="276" w:lineRule="auto"/>
              <w:rPr>
                <w:b/>
              </w:rPr>
            </w:pPr>
            <w:r w:rsidRPr="008478F3">
              <w:rPr>
                <w:b/>
              </w:rPr>
              <w:t>Metric description</w:t>
            </w:r>
          </w:p>
        </w:tc>
      </w:tr>
      <w:tr w:rsidR="008478F3" w14:paraId="479AE7FB" w14:textId="77777777" w:rsidTr="00DE52AD">
        <w:tc>
          <w:tcPr>
            <w:tcW w:w="551" w:type="dxa"/>
          </w:tcPr>
          <w:p w14:paraId="5A6DB712" w14:textId="77777777" w:rsidR="008478F3" w:rsidRPr="00714A4F" w:rsidRDefault="008478F3" w:rsidP="00561BFE">
            <w:pPr>
              <w:pStyle w:val="ListParagraph"/>
              <w:spacing w:line="276" w:lineRule="auto"/>
              <w:ind w:left="0"/>
              <w:rPr>
                <w:szCs w:val="24"/>
              </w:rPr>
            </w:pPr>
            <w:r w:rsidRPr="00714A4F">
              <w:rPr>
                <w:szCs w:val="24"/>
              </w:rPr>
              <w:t>1.</w:t>
            </w:r>
          </w:p>
        </w:tc>
        <w:tc>
          <w:tcPr>
            <w:tcW w:w="7745" w:type="dxa"/>
            <w:vAlign w:val="center"/>
          </w:tcPr>
          <w:p w14:paraId="3E15062E" w14:textId="77777777" w:rsidR="008478F3" w:rsidRPr="00714A4F" w:rsidRDefault="008478F3" w:rsidP="00561BFE">
            <w:pPr>
              <w:pStyle w:val="ListParagraph"/>
              <w:spacing w:line="276" w:lineRule="auto"/>
              <w:ind w:left="0"/>
              <w:rPr>
                <w:szCs w:val="24"/>
              </w:rPr>
            </w:pPr>
            <w:r w:rsidRPr="001D6515">
              <w:rPr>
                <w:rFonts w:cs="Arial"/>
                <w:szCs w:val="24"/>
              </w:rPr>
              <w:t>Number of individuals in receipt of the Anticipatory Care model</w:t>
            </w:r>
          </w:p>
        </w:tc>
      </w:tr>
      <w:tr w:rsidR="000B4BA6" w14:paraId="57EA1E5C" w14:textId="77777777" w:rsidTr="00DE52AD">
        <w:tc>
          <w:tcPr>
            <w:tcW w:w="551" w:type="dxa"/>
          </w:tcPr>
          <w:p w14:paraId="06035234" w14:textId="4EE64466" w:rsidR="000B4BA6" w:rsidRPr="00714A4F" w:rsidRDefault="000B4BA6" w:rsidP="00561BFE">
            <w:pPr>
              <w:pStyle w:val="ListParagraph"/>
              <w:numPr>
                <w:ilvl w:val="0"/>
                <w:numId w:val="19"/>
              </w:numPr>
              <w:spacing w:line="276" w:lineRule="auto"/>
              <w:rPr>
                <w:szCs w:val="24"/>
              </w:rPr>
            </w:pPr>
          </w:p>
        </w:tc>
        <w:tc>
          <w:tcPr>
            <w:tcW w:w="7745" w:type="dxa"/>
            <w:vAlign w:val="center"/>
          </w:tcPr>
          <w:p w14:paraId="4875527B" w14:textId="7480890B" w:rsidR="000B4BA6" w:rsidRPr="001D6515" w:rsidRDefault="000B4BA6" w:rsidP="00561BFE">
            <w:pPr>
              <w:spacing w:line="276" w:lineRule="auto"/>
              <w:rPr>
                <w:rFonts w:cs="Arial"/>
              </w:rPr>
            </w:pPr>
            <w:r>
              <w:rPr>
                <w:rFonts w:cs="Arial"/>
              </w:rPr>
              <w:t>Number of needs assessment carried out for individuals in receipt of the Anticipatory Care model.</w:t>
            </w:r>
          </w:p>
        </w:tc>
      </w:tr>
      <w:tr w:rsidR="008478F3" w14:paraId="1009E5FD" w14:textId="77777777" w:rsidTr="00DE52AD">
        <w:tc>
          <w:tcPr>
            <w:tcW w:w="551" w:type="dxa"/>
          </w:tcPr>
          <w:p w14:paraId="1CC256C9" w14:textId="4F2866BD" w:rsidR="008478F3" w:rsidRPr="00714A4F" w:rsidRDefault="000B4BA6" w:rsidP="00561BFE">
            <w:pPr>
              <w:pStyle w:val="ListParagraph"/>
              <w:spacing w:line="276" w:lineRule="auto"/>
              <w:ind w:left="0"/>
              <w:rPr>
                <w:szCs w:val="24"/>
              </w:rPr>
            </w:pPr>
            <w:r>
              <w:rPr>
                <w:szCs w:val="24"/>
              </w:rPr>
              <w:t>3</w:t>
            </w:r>
            <w:r w:rsidR="008478F3" w:rsidRPr="00714A4F">
              <w:rPr>
                <w:szCs w:val="24"/>
              </w:rPr>
              <w:t>.</w:t>
            </w:r>
          </w:p>
        </w:tc>
        <w:tc>
          <w:tcPr>
            <w:tcW w:w="7745" w:type="dxa"/>
            <w:vAlign w:val="center"/>
          </w:tcPr>
          <w:p w14:paraId="66882540" w14:textId="6D8E21ED" w:rsidR="008478F3" w:rsidRPr="00714A4F" w:rsidRDefault="008478F3" w:rsidP="00561BFE">
            <w:pPr>
              <w:spacing w:line="276" w:lineRule="auto"/>
            </w:pPr>
            <w:r w:rsidRPr="001D6515">
              <w:rPr>
                <w:rFonts w:cs="Arial"/>
              </w:rPr>
              <w:t xml:space="preserve">Number of individuals in the active cohort of the anticipatory care </w:t>
            </w:r>
            <w:r w:rsidR="000B4BA6">
              <w:rPr>
                <w:rFonts w:cs="Arial"/>
              </w:rPr>
              <w:t>model</w:t>
            </w:r>
            <w:r w:rsidR="005828F3" w:rsidRPr="001D6515">
              <w:rPr>
                <w:rFonts w:cs="Arial"/>
              </w:rPr>
              <w:t xml:space="preserve"> </w:t>
            </w:r>
            <w:r w:rsidRPr="001D6515">
              <w:rPr>
                <w:rFonts w:cs="Arial"/>
              </w:rPr>
              <w:t>with a personalised care and support plan.</w:t>
            </w:r>
          </w:p>
        </w:tc>
      </w:tr>
      <w:tr w:rsidR="008478F3" w14:paraId="7775E897" w14:textId="77777777" w:rsidTr="00DE52AD">
        <w:tc>
          <w:tcPr>
            <w:tcW w:w="551" w:type="dxa"/>
          </w:tcPr>
          <w:p w14:paraId="66C8D74D" w14:textId="2A440AEE" w:rsidR="008478F3" w:rsidRPr="00714A4F" w:rsidRDefault="000B4BA6" w:rsidP="00561BFE">
            <w:pPr>
              <w:pStyle w:val="ListParagraph"/>
              <w:spacing w:line="276" w:lineRule="auto"/>
              <w:ind w:left="0"/>
              <w:rPr>
                <w:szCs w:val="24"/>
              </w:rPr>
            </w:pPr>
            <w:r>
              <w:rPr>
                <w:szCs w:val="24"/>
              </w:rPr>
              <w:t>4</w:t>
            </w:r>
            <w:r w:rsidR="008478F3" w:rsidRPr="00714A4F">
              <w:rPr>
                <w:szCs w:val="24"/>
              </w:rPr>
              <w:t>.</w:t>
            </w:r>
          </w:p>
        </w:tc>
        <w:tc>
          <w:tcPr>
            <w:tcW w:w="7745" w:type="dxa"/>
            <w:vAlign w:val="center"/>
          </w:tcPr>
          <w:p w14:paraId="41F88E3F" w14:textId="57928686" w:rsidR="008478F3" w:rsidRPr="00714A4F" w:rsidRDefault="008478F3" w:rsidP="00561BFE">
            <w:pPr>
              <w:pStyle w:val="ListParagraph"/>
              <w:spacing w:line="276" w:lineRule="auto"/>
              <w:ind w:left="0"/>
              <w:rPr>
                <w:szCs w:val="24"/>
              </w:rPr>
            </w:pPr>
            <w:r w:rsidRPr="001D6515">
              <w:rPr>
                <w:rFonts w:cs="Arial"/>
                <w:szCs w:val="24"/>
              </w:rPr>
              <w:t xml:space="preserve">Number of individuals in the active cohort of the anticipatory care </w:t>
            </w:r>
            <w:r w:rsidR="000B4BA6">
              <w:rPr>
                <w:rFonts w:cs="Arial"/>
                <w:szCs w:val="24"/>
              </w:rPr>
              <w:t>model</w:t>
            </w:r>
            <w:r w:rsidR="005828F3" w:rsidRPr="001D6515">
              <w:rPr>
                <w:rFonts w:cs="Arial"/>
                <w:szCs w:val="24"/>
              </w:rPr>
              <w:t xml:space="preserve"> </w:t>
            </w:r>
            <w:r w:rsidRPr="001D6515">
              <w:rPr>
                <w:rFonts w:cs="Arial"/>
                <w:szCs w:val="24"/>
              </w:rPr>
              <w:t xml:space="preserve">receiving a falls risk assessment. </w:t>
            </w:r>
          </w:p>
        </w:tc>
      </w:tr>
      <w:tr w:rsidR="008478F3" w14:paraId="0EA9B466" w14:textId="77777777" w:rsidTr="00DE52AD">
        <w:tc>
          <w:tcPr>
            <w:tcW w:w="551" w:type="dxa"/>
          </w:tcPr>
          <w:p w14:paraId="0168E3AB" w14:textId="0FF5EB75" w:rsidR="008478F3" w:rsidRPr="00714A4F" w:rsidRDefault="000B4BA6" w:rsidP="00561BFE">
            <w:pPr>
              <w:pStyle w:val="ListParagraph"/>
              <w:spacing w:line="276" w:lineRule="auto"/>
              <w:ind w:left="0"/>
              <w:rPr>
                <w:szCs w:val="24"/>
              </w:rPr>
            </w:pPr>
            <w:r>
              <w:rPr>
                <w:szCs w:val="24"/>
              </w:rPr>
              <w:t>5</w:t>
            </w:r>
            <w:r w:rsidR="008478F3" w:rsidRPr="00714A4F">
              <w:rPr>
                <w:szCs w:val="24"/>
              </w:rPr>
              <w:t>.</w:t>
            </w:r>
          </w:p>
        </w:tc>
        <w:tc>
          <w:tcPr>
            <w:tcW w:w="7745" w:type="dxa"/>
            <w:vAlign w:val="center"/>
          </w:tcPr>
          <w:p w14:paraId="2FF2BF82" w14:textId="1A4C7B0F" w:rsidR="008478F3" w:rsidRPr="00714A4F" w:rsidRDefault="008478F3" w:rsidP="00561BFE">
            <w:pPr>
              <w:pStyle w:val="ListParagraph"/>
              <w:spacing w:line="276" w:lineRule="auto"/>
              <w:ind w:left="0"/>
              <w:rPr>
                <w:szCs w:val="24"/>
              </w:rPr>
            </w:pPr>
            <w:r w:rsidRPr="001D6515">
              <w:rPr>
                <w:rFonts w:cs="Arial"/>
                <w:szCs w:val="24"/>
              </w:rPr>
              <w:t>Number of individuals in the active cohort of the anticipatory care</w:t>
            </w:r>
            <w:r w:rsidR="005828F3" w:rsidRPr="001D6515">
              <w:rPr>
                <w:rFonts w:cs="Arial"/>
                <w:szCs w:val="24"/>
              </w:rPr>
              <w:t xml:space="preserve"> </w:t>
            </w:r>
            <w:r w:rsidR="000B4BA6">
              <w:rPr>
                <w:rFonts w:cs="Arial"/>
                <w:szCs w:val="24"/>
              </w:rPr>
              <w:t>model</w:t>
            </w:r>
            <w:r w:rsidRPr="001D6515">
              <w:rPr>
                <w:rFonts w:cs="Arial"/>
                <w:szCs w:val="24"/>
              </w:rPr>
              <w:t xml:space="preserve"> receiving a delirium risk assessment</w:t>
            </w:r>
          </w:p>
        </w:tc>
      </w:tr>
      <w:tr w:rsidR="008478F3" w14:paraId="36EB4037" w14:textId="77777777" w:rsidTr="00DE52AD">
        <w:tc>
          <w:tcPr>
            <w:tcW w:w="551" w:type="dxa"/>
          </w:tcPr>
          <w:p w14:paraId="1F7A67B0" w14:textId="6058C043" w:rsidR="008478F3" w:rsidRPr="00714A4F" w:rsidRDefault="000B4BA6" w:rsidP="00561BFE">
            <w:pPr>
              <w:pStyle w:val="ListParagraph"/>
              <w:spacing w:line="276" w:lineRule="auto"/>
              <w:ind w:left="0"/>
              <w:rPr>
                <w:szCs w:val="24"/>
              </w:rPr>
            </w:pPr>
            <w:r>
              <w:rPr>
                <w:szCs w:val="24"/>
              </w:rPr>
              <w:t>6</w:t>
            </w:r>
            <w:r w:rsidR="008478F3" w:rsidRPr="00714A4F">
              <w:rPr>
                <w:szCs w:val="24"/>
              </w:rPr>
              <w:t>.</w:t>
            </w:r>
          </w:p>
        </w:tc>
        <w:tc>
          <w:tcPr>
            <w:tcW w:w="7745" w:type="dxa"/>
            <w:vAlign w:val="center"/>
          </w:tcPr>
          <w:p w14:paraId="35E896BA" w14:textId="47EEA96A" w:rsidR="008478F3" w:rsidRPr="00714A4F" w:rsidRDefault="008478F3" w:rsidP="00561BFE">
            <w:pPr>
              <w:pStyle w:val="ListParagraph"/>
              <w:spacing w:line="276" w:lineRule="auto"/>
              <w:ind w:left="0"/>
              <w:rPr>
                <w:szCs w:val="24"/>
              </w:rPr>
            </w:pPr>
            <w:r w:rsidRPr="001D6515">
              <w:rPr>
                <w:rFonts w:cs="Arial"/>
                <w:szCs w:val="24"/>
              </w:rPr>
              <w:t xml:space="preserve">Number of SMRs for the active cohort on the anticipatory care </w:t>
            </w:r>
            <w:r w:rsidR="000B4BA6">
              <w:rPr>
                <w:rFonts w:cs="Arial"/>
                <w:szCs w:val="24"/>
              </w:rPr>
              <w:t>model</w:t>
            </w:r>
          </w:p>
        </w:tc>
      </w:tr>
      <w:tr w:rsidR="008478F3" w14:paraId="3E445D7F" w14:textId="77777777" w:rsidTr="00DE52AD">
        <w:tc>
          <w:tcPr>
            <w:tcW w:w="551" w:type="dxa"/>
          </w:tcPr>
          <w:p w14:paraId="7A0B49A8" w14:textId="48F24D99" w:rsidR="008478F3" w:rsidRPr="00714A4F" w:rsidRDefault="000B4BA6" w:rsidP="00561BFE">
            <w:pPr>
              <w:pStyle w:val="ListParagraph"/>
              <w:spacing w:line="276" w:lineRule="auto"/>
              <w:ind w:left="0"/>
              <w:rPr>
                <w:szCs w:val="24"/>
              </w:rPr>
            </w:pPr>
            <w:r>
              <w:rPr>
                <w:szCs w:val="24"/>
              </w:rPr>
              <w:t>7</w:t>
            </w:r>
            <w:r w:rsidR="008478F3" w:rsidRPr="00714A4F">
              <w:rPr>
                <w:szCs w:val="24"/>
              </w:rPr>
              <w:t>.</w:t>
            </w:r>
          </w:p>
        </w:tc>
        <w:tc>
          <w:tcPr>
            <w:tcW w:w="7745" w:type="dxa"/>
            <w:vAlign w:val="center"/>
          </w:tcPr>
          <w:p w14:paraId="1E159D68" w14:textId="203B8C61" w:rsidR="008478F3" w:rsidRPr="00714A4F" w:rsidRDefault="008478F3" w:rsidP="00561BFE">
            <w:pPr>
              <w:pStyle w:val="ListParagraph"/>
              <w:tabs>
                <w:tab w:val="left" w:pos="1937"/>
              </w:tabs>
              <w:spacing w:line="276" w:lineRule="auto"/>
              <w:ind w:left="0"/>
              <w:rPr>
                <w:szCs w:val="24"/>
              </w:rPr>
            </w:pPr>
            <w:r w:rsidRPr="001D6515">
              <w:rPr>
                <w:rFonts w:cs="Arial"/>
                <w:szCs w:val="24"/>
              </w:rPr>
              <w:t xml:space="preserve">Number of SMR follow-ups in the active cohort on the anticipatory care </w:t>
            </w:r>
            <w:r w:rsidR="000B4BA6">
              <w:rPr>
                <w:rFonts w:cs="Arial"/>
                <w:szCs w:val="24"/>
              </w:rPr>
              <w:t>model</w:t>
            </w:r>
          </w:p>
        </w:tc>
      </w:tr>
      <w:tr w:rsidR="008478F3" w14:paraId="40E3654E" w14:textId="77777777" w:rsidTr="00DE52AD">
        <w:tc>
          <w:tcPr>
            <w:tcW w:w="551" w:type="dxa"/>
          </w:tcPr>
          <w:p w14:paraId="5FC3AC3F" w14:textId="659D9FCC" w:rsidR="008478F3" w:rsidRPr="00714A4F" w:rsidRDefault="000B4BA6" w:rsidP="00561BFE">
            <w:pPr>
              <w:pStyle w:val="ListParagraph"/>
              <w:spacing w:line="276" w:lineRule="auto"/>
              <w:ind w:left="0"/>
              <w:rPr>
                <w:szCs w:val="24"/>
              </w:rPr>
            </w:pPr>
            <w:r>
              <w:rPr>
                <w:szCs w:val="24"/>
              </w:rPr>
              <w:t>8</w:t>
            </w:r>
            <w:r w:rsidR="008478F3" w:rsidRPr="00714A4F">
              <w:rPr>
                <w:szCs w:val="24"/>
              </w:rPr>
              <w:t>.</w:t>
            </w:r>
          </w:p>
        </w:tc>
        <w:tc>
          <w:tcPr>
            <w:tcW w:w="7745" w:type="dxa"/>
            <w:vAlign w:val="center"/>
          </w:tcPr>
          <w:p w14:paraId="70B3E84A" w14:textId="00B49496" w:rsidR="008478F3" w:rsidRPr="00714A4F" w:rsidRDefault="008478F3" w:rsidP="00561BFE">
            <w:pPr>
              <w:pStyle w:val="ListParagraph"/>
              <w:tabs>
                <w:tab w:val="left" w:pos="1937"/>
              </w:tabs>
              <w:spacing w:line="276" w:lineRule="auto"/>
              <w:ind w:left="0"/>
              <w:rPr>
                <w:szCs w:val="24"/>
              </w:rPr>
            </w:pPr>
            <w:r w:rsidRPr="001D6515">
              <w:rPr>
                <w:rFonts w:cs="Arial"/>
                <w:szCs w:val="24"/>
              </w:rPr>
              <w:t xml:space="preserve">Number of individuals in the active cohort on the anticipatory care </w:t>
            </w:r>
            <w:r w:rsidR="000B4BA6">
              <w:rPr>
                <w:rFonts w:cs="Arial"/>
                <w:szCs w:val="24"/>
              </w:rPr>
              <w:t>model</w:t>
            </w:r>
            <w:r w:rsidRPr="001D6515">
              <w:rPr>
                <w:rFonts w:cs="Arial"/>
                <w:szCs w:val="24"/>
              </w:rPr>
              <w:t xml:space="preserve"> given a referral to social prescribing service or where social prescribing is declined </w:t>
            </w:r>
          </w:p>
        </w:tc>
      </w:tr>
    </w:tbl>
    <w:p w14:paraId="6EB23614" w14:textId="77777777" w:rsidR="008478F3" w:rsidRDefault="008478F3" w:rsidP="008478F3"/>
    <w:p w14:paraId="45D187D0" w14:textId="77777777" w:rsidR="00F33080" w:rsidRPr="0051524C" w:rsidRDefault="00F33080" w:rsidP="004674CF">
      <w:pPr>
        <w:pStyle w:val="ListParagraph"/>
        <w:ind w:left="567"/>
      </w:pPr>
    </w:p>
    <w:p w14:paraId="12541BCB" w14:textId="04275129" w:rsidR="00561BFE" w:rsidRDefault="00561BFE">
      <w:pPr>
        <w:rPr>
          <w:rFonts w:eastAsia="Times New Roman" w:cs="Times New Roman"/>
          <w:bCs/>
          <w:szCs w:val="26"/>
        </w:rPr>
      </w:pPr>
      <w:r>
        <w:br w:type="page"/>
      </w:r>
    </w:p>
    <w:p w14:paraId="2CD6A46F" w14:textId="77777777" w:rsidR="004B2E1F" w:rsidRDefault="004B2E1F" w:rsidP="000A0F1E">
      <w:pPr>
        <w:pStyle w:val="Heading1"/>
        <w:numPr>
          <w:ilvl w:val="0"/>
          <w:numId w:val="1"/>
        </w:numPr>
      </w:pPr>
      <w:bookmarkStart w:id="19" w:name="_Toc27473069"/>
      <w:r>
        <w:lastRenderedPageBreak/>
        <w:t>Personalised Care</w:t>
      </w:r>
      <w:bookmarkEnd w:id="19"/>
    </w:p>
    <w:p w14:paraId="416F03E0" w14:textId="77777777" w:rsidR="004B2E1F" w:rsidRPr="004B26A9" w:rsidRDefault="004B2E1F" w:rsidP="004B2E1F">
      <w:pPr>
        <w:pStyle w:val="ListParagraph"/>
        <w:ind w:left="567"/>
        <w:rPr>
          <w:rFonts w:cs="Arial"/>
          <w:color w:val="202A30"/>
          <w:szCs w:val="24"/>
          <w:shd w:val="clear" w:color="auto" w:fill="FFFFFF"/>
        </w:rPr>
      </w:pPr>
    </w:p>
    <w:p w14:paraId="5AF48223" w14:textId="02732B5A" w:rsidR="004B2E1F" w:rsidRDefault="00C1247B" w:rsidP="00561BFE">
      <w:pPr>
        <w:spacing w:after="0" w:line="276" w:lineRule="auto"/>
        <w:rPr>
          <w:b/>
        </w:rPr>
      </w:pPr>
      <w:r w:rsidRPr="00073AC1">
        <w:rPr>
          <w:b/>
        </w:rPr>
        <w:t>Introduction</w:t>
      </w:r>
    </w:p>
    <w:p w14:paraId="1752BA32" w14:textId="77777777" w:rsidR="00561BFE" w:rsidRPr="00073AC1" w:rsidRDefault="00561BFE" w:rsidP="00561BFE">
      <w:pPr>
        <w:spacing w:after="0" w:line="276" w:lineRule="auto"/>
        <w:rPr>
          <w:b/>
        </w:rPr>
      </w:pPr>
    </w:p>
    <w:p w14:paraId="713169C7" w14:textId="77777777" w:rsidR="00F513CD" w:rsidRDefault="004B2E1F" w:rsidP="00561BFE">
      <w:pPr>
        <w:pStyle w:val="ListParagraph"/>
        <w:numPr>
          <w:ilvl w:val="1"/>
          <w:numId w:val="34"/>
        </w:numPr>
        <w:spacing w:line="276" w:lineRule="auto"/>
      </w:pPr>
      <w:r w:rsidRPr="004B26A9">
        <w:t>Chapter one of the NHS Long Term Plan</w:t>
      </w:r>
      <w:r>
        <w:t xml:space="preserve"> (LTP)</w:t>
      </w:r>
      <w:r w:rsidRPr="004B26A9">
        <w:t xml:space="preserve"> makes personalised care business as usual across the health and care system as one of the five major, practical changes to the NHS service model. Personalised care means people have choice and control over the way their care is planned and delivered, based on ‘what matters’ to them and their individual diverse strengths, needs and preferences. This happens within a system that supports people to stay well for longer and makes the most of the expertise, capacity and potential of people, families and communities in delivering better health and wellbeing outcomes and experiences. </w:t>
      </w:r>
      <w:r w:rsidRPr="004B26A9" w:rsidDel="00566336">
        <w:t xml:space="preserve"> </w:t>
      </w:r>
    </w:p>
    <w:p w14:paraId="0FB3FB2C" w14:textId="77777777" w:rsidR="000403A8" w:rsidRDefault="000403A8" w:rsidP="00561BFE">
      <w:pPr>
        <w:pStyle w:val="ListParagraph"/>
        <w:spacing w:line="276" w:lineRule="auto"/>
        <w:ind w:left="567"/>
      </w:pPr>
    </w:p>
    <w:p w14:paraId="06B76E7A" w14:textId="77777777" w:rsidR="000403A8" w:rsidRPr="004B26A9" w:rsidRDefault="000403A8" w:rsidP="00561BFE">
      <w:pPr>
        <w:pStyle w:val="ListParagraph"/>
        <w:numPr>
          <w:ilvl w:val="1"/>
          <w:numId w:val="34"/>
        </w:numPr>
        <w:spacing w:line="276" w:lineRule="auto"/>
      </w:pPr>
      <w:r w:rsidRPr="00A26B0B">
        <w:rPr>
          <w:i/>
        </w:rPr>
        <w:t>Universal Personalised Care: Implementing the Comprehensive Model</w:t>
      </w:r>
      <w:r w:rsidRPr="004B26A9">
        <w:t>”</w:t>
      </w:r>
      <w:r w:rsidRPr="004B26A9">
        <w:rPr>
          <w:sz w:val="16"/>
          <w:szCs w:val="16"/>
        </w:rPr>
        <w:footnoteReference w:id="10"/>
      </w:r>
      <w:r w:rsidRPr="004B26A9">
        <w:t xml:space="preserve"> is the delivery plan for personalised care, published by NHS England in January 2019 following the </w:t>
      </w:r>
      <w:r>
        <w:t>LTP</w:t>
      </w:r>
      <w:r w:rsidRPr="004B26A9">
        <w:t xml:space="preserve">. </w:t>
      </w:r>
      <w:r w:rsidRPr="00F513CD">
        <w:rPr>
          <w:rFonts w:cs="Arial"/>
          <w:color w:val="000000" w:themeColor="text1"/>
          <w:szCs w:val="24"/>
        </w:rPr>
        <w:t xml:space="preserve">The Comprehensive Model builds on the success the NHS has had in implementing personalised care in a variety of settings and locations across the country. The experience and evidence thus far (and as set out in </w:t>
      </w:r>
      <w:r w:rsidRPr="00A26B0B">
        <w:rPr>
          <w:rFonts w:cs="Arial"/>
          <w:i/>
          <w:color w:val="000000" w:themeColor="text1"/>
          <w:szCs w:val="24"/>
        </w:rPr>
        <w:t>Universal Personalised Care</w:t>
      </w:r>
      <w:r w:rsidRPr="00F513CD">
        <w:rPr>
          <w:rFonts w:cs="Arial"/>
          <w:color w:val="000000" w:themeColor="text1"/>
          <w:szCs w:val="24"/>
        </w:rPr>
        <w:t>) has shown that benefits include:</w:t>
      </w:r>
    </w:p>
    <w:p w14:paraId="4615E73B" w14:textId="77777777" w:rsidR="007B1078" w:rsidRDefault="007B1078" w:rsidP="00561BFE">
      <w:pPr>
        <w:spacing w:after="0" w:line="276" w:lineRule="auto"/>
        <w:ind w:left="1440"/>
        <w:contextualSpacing/>
        <w:rPr>
          <w:rFonts w:cs="Arial"/>
          <w:color w:val="000000" w:themeColor="text1"/>
          <w:szCs w:val="24"/>
        </w:rPr>
      </w:pPr>
    </w:p>
    <w:p w14:paraId="5154A304" w14:textId="77777777" w:rsidR="000403A8" w:rsidRPr="00E84368" w:rsidRDefault="007B1078" w:rsidP="00561BFE">
      <w:pPr>
        <w:numPr>
          <w:ilvl w:val="0"/>
          <w:numId w:val="13"/>
        </w:numPr>
        <w:spacing w:after="0" w:line="276" w:lineRule="auto"/>
        <w:contextualSpacing/>
        <w:rPr>
          <w:rFonts w:cs="Arial"/>
          <w:color w:val="000000" w:themeColor="text1"/>
          <w:szCs w:val="24"/>
        </w:rPr>
      </w:pPr>
      <w:r>
        <w:rPr>
          <w:rFonts w:cs="Arial"/>
          <w:color w:val="000000" w:themeColor="text1"/>
          <w:szCs w:val="24"/>
        </w:rPr>
        <w:t>i</w:t>
      </w:r>
      <w:r w:rsidR="000403A8" w:rsidRPr="00E84368">
        <w:rPr>
          <w:rFonts w:cs="Arial"/>
          <w:color w:val="000000" w:themeColor="text1"/>
          <w:szCs w:val="24"/>
        </w:rPr>
        <w:t>mprovement to people’s experiences of care and their health and wellbeing, including for people who face the greatest health inequalities</w:t>
      </w:r>
      <w:r>
        <w:rPr>
          <w:rFonts w:cs="Arial"/>
          <w:color w:val="000000" w:themeColor="text1"/>
          <w:szCs w:val="24"/>
        </w:rPr>
        <w:t>; and</w:t>
      </w:r>
      <w:r w:rsidR="000403A8" w:rsidRPr="00E84368">
        <w:rPr>
          <w:rFonts w:cs="Arial"/>
          <w:color w:val="000000" w:themeColor="text1"/>
          <w:szCs w:val="24"/>
        </w:rPr>
        <w:t xml:space="preserve"> </w:t>
      </w:r>
    </w:p>
    <w:p w14:paraId="36FEAF77" w14:textId="77777777" w:rsidR="007B1078" w:rsidRDefault="007B1078" w:rsidP="00561BFE">
      <w:pPr>
        <w:spacing w:after="0" w:line="276" w:lineRule="auto"/>
        <w:ind w:left="1440"/>
        <w:contextualSpacing/>
        <w:rPr>
          <w:rFonts w:cs="Arial"/>
          <w:color w:val="000000" w:themeColor="text1"/>
          <w:szCs w:val="24"/>
        </w:rPr>
      </w:pPr>
    </w:p>
    <w:p w14:paraId="639E27FE" w14:textId="77777777" w:rsidR="000403A8" w:rsidRDefault="007B1078" w:rsidP="00561BFE">
      <w:pPr>
        <w:numPr>
          <w:ilvl w:val="0"/>
          <w:numId w:val="13"/>
        </w:numPr>
        <w:spacing w:after="0" w:line="276" w:lineRule="auto"/>
        <w:contextualSpacing/>
        <w:rPr>
          <w:rFonts w:cs="Arial"/>
          <w:color w:val="000000" w:themeColor="text1"/>
          <w:szCs w:val="24"/>
        </w:rPr>
      </w:pPr>
      <w:r>
        <w:rPr>
          <w:rFonts w:cs="Arial"/>
          <w:color w:val="000000" w:themeColor="text1"/>
          <w:szCs w:val="24"/>
        </w:rPr>
        <w:t>m</w:t>
      </w:r>
      <w:r w:rsidR="000403A8" w:rsidRPr="00E84368">
        <w:rPr>
          <w:rFonts w:cs="Arial"/>
          <w:color w:val="000000" w:themeColor="text1"/>
          <w:szCs w:val="24"/>
        </w:rPr>
        <w:t>ore effective use</w:t>
      </w:r>
      <w:r w:rsidR="000403A8">
        <w:rPr>
          <w:rFonts w:cs="Arial"/>
          <w:color w:val="000000" w:themeColor="text1"/>
          <w:szCs w:val="24"/>
        </w:rPr>
        <w:t xml:space="preserve"> of NHS services</w:t>
      </w:r>
      <w:r w:rsidR="000403A8" w:rsidRPr="00E84368">
        <w:rPr>
          <w:rFonts w:cs="Arial"/>
          <w:color w:val="000000" w:themeColor="text1"/>
          <w:szCs w:val="24"/>
        </w:rPr>
        <w:t>, including reduced crises that lead to unplanned hospital or institutional care</w:t>
      </w:r>
      <w:r w:rsidR="000403A8">
        <w:rPr>
          <w:rFonts w:cs="Arial"/>
          <w:color w:val="000000" w:themeColor="text1"/>
          <w:szCs w:val="24"/>
        </w:rPr>
        <w:t>.</w:t>
      </w:r>
    </w:p>
    <w:p w14:paraId="45712B37" w14:textId="77777777" w:rsidR="000403A8" w:rsidRDefault="000403A8" w:rsidP="00561BFE">
      <w:pPr>
        <w:spacing w:after="0" w:line="276" w:lineRule="auto"/>
        <w:contextualSpacing/>
        <w:rPr>
          <w:rFonts w:cs="Arial"/>
          <w:color w:val="000000" w:themeColor="text1"/>
          <w:szCs w:val="24"/>
        </w:rPr>
      </w:pPr>
    </w:p>
    <w:p w14:paraId="2193C50F" w14:textId="77777777" w:rsidR="000403A8" w:rsidRPr="00E5688F" w:rsidRDefault="000403A8" w:rsidP="00561BFE">
      <w:pPr>
        <w:spacing w:after="0" w:line="276" w:lineRule="auto"/>
      </w:pPr>
      <w:r w:rsidRPr="003F5F88">
        <w:rPr>
          <w:rFonts w:cs="Arial"/>
          <w:b/>
        </w:rPr>
        <w:t>Existing provision and available support for PCNs</w:t>
      </w:r>
    </w:p>
    <w:p w14:paraId="3CFB8F64" w14:textId="77777777" w:rsidR="000403A8" w:rsidRDefault="000403A8" w:rsidP="00561BFE">
      <w:pPr>
        <w:spacing w:after="0" w:line="276" w:lineRule="auto"/>
        <w:contextualSpacing/>
        <w:rPr>
          <w:rFonts w:cs="Arial"/>
          <w:color w:val="000000" w:themeColor="text1"/>
          <w:szCs w:val="24"/>
        </w:rPr>
      </w:pPr>
    </w:p>
    <w:p w14:paraId="19B8B8FC" w14:textId="77777777" w:rsidR="000403A8" w:rsidRDefault="00507478" w:rsidP="00561BFE">
      <w:pPr>
        <w:pStyle w:val="ListParagraph"/>
        <w:numPr>
          <w:ilvl w:val="1"/>
          <w:numId w:val="34"/>
        </w:numPr>
        <w:spacing w:line="276" w:lineRule="auto"/>
      </w:pPr>
      <w:r>
        <w:t>There is substantial existing provision and support available to PCNs through the personalised care national programme, and its regional networks</w:t>
      </w:r>
      <w:r w:rsidR="007B1078">
        <w:t>. This includes</w:t>
      </w:r>
      <w:r>
        <w:t>:</w:t>
      </w:r>
    </w:p>
    <w:p w14:paraId="5E9D643A" w14:textId="77777777" w:rsidR="00403A80" w:rsidRDefault="00403A80" w:rsidP="00561BFE">
      <w:pPr>
        <w:pStyle w:val="ListParagraph"/>
        <w:spacing w:line="276" w:lineRule="auto"/>
        <w:ind w:left="567"/>
      </w:pPr>
    </w:p>
    <w:p w14:paraId="571AE640" w14:textId="3E63B045" w:rsidR="00403A80" w:rsidRDefault="006933C4" w:rsidP="00561BFE">
      <w:pPr>
        <w:pStyle w:val="ListParagraph"/>
        <w:numPr>
          <w:ilvl w:val="0"/>
          <w:numId w:val="40"/>
        </w:numPr>
        <w:spacing w:line="276" w:lineRule="auto"/>
      </w:pPr>
      <w:r>
        <w:t>D</w:t>
      </w:r>
      <w:r w:rsidR="00403A80">
        <w:t xml:space="preserve">edicated clinical support tools </w:t>
      </w:r>
      <w:r w:rsidR="00D5185A">
        <w:t xml:space="preserve">are </w:t>
      </w:r>
      <w:r w:rsidR="00403A80">
        <w:t xml:space="preserve">available via GPIT systems to support professionals in having </w:t>
      </w:r>
      <w:r w:rsidR="007B1078">
        <w:t xml:space="preserve">shared </w:t>
      </w:r>
      <w:proofErr w:type="gramStart"/>
      <w:r w:rsidR="007B1078">
        <w:t>decision making</w:t>
      </w:r>
      <w:proofErr w:type="gramEnd"/>
      <w:r w:rsidR="007B1078">
        <w:t xml:space="preserve"> </w:t>
      </w:r>
      <w:r w:rsidR="00403A80">
        <w:t>conversations with cohorts where this is a service requirement in 20/21</w:t>
      </w:r>
      <w:r w:rsidR="007B1078">
        <w:t>;</w:t>
      </w:r>
      <w:r>
        <w:t xml:space="preserve"> and</w:t>
      </w:r>
    </w:p>
    <w:p w14:paraId="3E0015A5" w14:textId="77777777" w:rsidR="007B1078" w:rsidRDefault="007B1078" w:rsidP="00561BFE">
      <w:pPr>
        <w:pStyle w:val="ListParagraph"/>
        <w:spacing w:line="276" w:lineRule="auto"/>
        <w:ind w:left="1287"/>
      </w:pPr>
    </w:p>
    <w:p w14:paraId="244B201A" w14:textId="2A6F13E1" w:rsidR="00403A80" w:rsidRDefault="006933C4" w:rsidP="00561BFE">
      <w:pPr>
        <w:pStyle w:val="ListParagraph"/>
        <w:numPr>
          <w:ilvl w:val="0"/>
          <w:numId w:val="40"/>
        </w:numPr>
        <w:spacing w:line="276" w:lineRule="auto"/>
      </w:pPr>
      <w:r>
        <w:t>Well</w:t>
      </w:r>
      <w:r w:rsidR="00A26B0B">
        <w:t>-</w:t>
      </w:r>
      <w:r>
        <w:t>developed</w:t>
      </w:r>
      <w:r w:rsidR="00403A80">
        <w:t xml:space="preserve"> </w:t>
      </w:r>
      <w:r w:rsidR="009B09A5">
        <w:t xml:space="preserve">social prescribing </w:t>
      </w:r>
      <w:r w:rsidR="00403A80">
        <w:t xml:space="preserve">in many areas – often occurring at a scale that already exceeds the 2020/21 requirement. Building on this success, there will be free training provided by HEE available to all </w:t>
      </w:r>
      <w:r w:rsidR="00403A80">
        <w:lastRenderedPageBreak/>
        <w:t>social prescribing link workers, as well as access to regional support networks.</w:t>
      </w:r>
    </w:p>
    <w:p w14:paraId="711B5205" w14:textId="77777777" w:rsidR="00403A80" w:rsidRDefault="00403A80" w:rsidP="00561BFE">
      <w:pPr>
        <w:pStyle w:val="ListParagraph"/>
        <w:spacing w:line="276" w:lineRule="auto"/>
        <w:ind w:left="567"/>
      </w:pPr>
    </w:p>
    <w:p w14:paraId="40267C15" w14:textId="77777777" w:rsidR="00403A80" w:rsidRDefault="00403A80" w:rsidP="00561BFE">
      <w:pPr>
        <w:pStyle w:val="ListParagraph"/>
        <w:numPr>
          <w:ilvl w:val="1"/>
          <w:numId w:val="34"/>
        </w:numPr>
        <w:spacing w:line="276" w:lineRule="auto"/>
      </w:pPr>
      <w:r>
        <w:t>Evidence from existing social prescribing schemes and clinical expertise suggests that GP appointments can be prevented when individuals receive a social prescribing intervention, and onward referral to appropriate services. Delivery of this service (which will be mostly be carried out by staff funded</w:t>
      </w:r>
      <w:r w:rsidR="009B09A5">
        <w:t xml:space="preserve"> in full</w:t>
      </w:r>
      <w:r>
        <w:t xml:space="preserve"> via the Network DES) has a clear potential to reduce GP burden at a local and national level.</w:t>
      </w:r>
    </w:p>
    <w:p w14:paraId="1F730B9F" w14:textId="77777777" w:rsidR="00403A80" w:rsidRDefault="00403A80" w:rsidP="00561BFE">
      <w:pPr>
        <w:pStyle w:val="ListParagraph"/>
        <w:spacing w:line="276" w:lineRule="auto"/>
        <w:ind w:left="567"/>
      </w:pPr>
    </w:p>
    <w:p w14:paraId="1B918C02" w14:textId="77777777" w:rsidR="004B2E1F" w:rsidRDefault="002D6C93" w:rsidP="00561BFE">
      <w:pPr>
        <w:pStyle w:val="ListParagraph"/>
        <w:spacing w:line="276" w:lineRule="auto"/>
        <w:ind w:left="0"/>
        <w:rPr>
          <w:b/>
          <w:szCs w:val="22"/>
        </w:rPr>
      </w:pPr>
      <w:r>
        <w:rPr>
          <w:b/>
          <w:szCs w:val="22"/>
        </w:rPr>
        <w:t xml:space="preserve">Proposed </w:t>
      </w:r>
      <w:r w:rsidR="00C1247B" w:rsidRPr="00C1247B">
        <w:rPr>
          <w:b/>
          <w:szCs w:val="22"/>
        </w:rPr>
        <w:t xml:space="preserve">Service Model </w:t>
      </w:r>
    </w:p>
    <w:p w14:paraId="39B4F9E0" w14:textId="77777777" w:rsidR="00C1247B" w:rsidRPr="00C1247B" w:rsidRDefault="00C1247B" w:rsidP="00561BFE">
      <w:pPr>
        <w:pStyle w:val="ListParagraph"/>
        <w:spacing w:line="276" w:lineRule="auto"/>
        <w:ind w:left="0"/>
        <w:rPr>
          <w:b/>
          <w:szCs w:val="22"/>
        </w:rPr>
      </w:pPr>
    </w:p>
    <w:p w14:paraId="6EE2D559" w14:textId="77777777" w:rsidR="004B2E1F" w:rsidRPr="00F513CD" w:rsidRDefault="004B2E1F" w:rsidP="00561BFE">
      <w:pPr>
        <w:pStyle w:val="ListParagraph"/>
        <w:numPr>
          <w:ilvl w:val="1"/>
          <w:numId w:val="34"/>
        </w:numPr>
        <w:spacing w:line="276" w:lineRule="auto"/>
        <w:rPr>
          <w:rFonts w:cs="Arial"/>
          <w:color w:val="000000" w:themeColor="text1"/>
          <w:szCs w:val="24"/>
        </w:rPr>
      </w:pPr>
      <w:r w:rsidRPr="00F513CD">
        <w:rPr>
          <w:rFonts w:cs="Arial"/>
          <w:color w:val="000000" w:themeColor="text1"/>
          <w:szCs w:val="24"/>
        </w:rPr>
        <w:t xml:space="preserve">The Comprehensive Model for Personalised Care brings together six evidence-based and inter-linked components, each of which is defined by a standard, replicable delivery model. </w:t>
      </w:r>
      <w:r w:rsidRPr="00F513CD">
        <w:rPr>
          <w:rFonts w:cs="Arial"/>
          <w:szCs w:val="24"/>
        </w:rPr>
        <w:t>The six key components are</w:t>
      </w:r>
      <w:r>
        <w:rPr>
          <w:rStyle w:val="FootnoteReference"/>
          <w:rFonts w:cs="Arial"/>
          <w:szCs w:val="24"/>
        </w:rPr>
        <w:footnoteReference w:id="11"/>
      </w:r>
      <w:r w:rsidRPr="00F513CD">
        <w:rPr>
          <w:rFonts w:cs="Arial"/>
          <w:szCs w:val="24"/>
        </w:rPr>
        <w:t>:</w:t>
      </w:r>
    </w:p>
    <w:p w14:paraId="0F1FA268"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Shared decision making</w:t>
      </w:r>
    </w:p>
    <w:p w14:paraId="4BA638FC"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Personalised care and support planning</w:t>
      </w:r>
    </w:p>
    <w:p w14:paraId="42E50725"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Enabling choice, including legal right</w:t>
      </w:r>
      <w:r>
        <w:rPr>
          <w:rFonts w:cs="Arial"/>
          <w:szCs w:val="24"/>
        </w:rPr>
        <w:t>s</w:t>
      </w:r>
      <w:r w:rsidRPr="00090AE8">
        <w:rPr>
          <w:rFonts w:cs="Arial"/>
          <w:szCs w:val="24"/>
        </w:rPr>
        <w:t xml:space="preserve"> </w:t>
      </w:r>
      <w:r w:rsidR="007F4028" w:rsidRPr="00090AE8">
        <w:rPr>
          <w:rFonts w:cs="Arial"/>
          <w:szCs w:val="24"/>
        </w:rPr>
        <w:t>to choose</w:t>
      </w:r>
    </w:p>
    <w:p w14:paraId="674FE9FC"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Social prescribing and community-based support</w:t>
      </w:r>
    </w:p>
    <w:p w14:paraId="7FD056B0" w14:textId="77777777" w:rsidR="004B2E1F" w:rsidRDefault="004B2E1F" w:rsidP="00561BFE">
      <w:pPr>
        <w:numPr>
          <w:ilvl w:val="0"/>
          <w:numId w:val="12"/>
        </w:numPr>
        <w:spacing w:after="0" w:line="276" w:lineRule="auto"/>
        <w:contextualSpacing/>
        <w:rPr>
          <w:rFonts w:cs="Arial"/>
          <w:szCs w:val="24"/>
        </w:rPr>
      </w:pPr>
      <w:r w:rsidRPr="00090AE8">
        <w:rPr>
          <w:rFonts w:cs="Arial"/>
          <w:szCs w:val="24"/>
        </w:rPr>
        <w:t>Supported self-management</w:t>
      </w:r>
    </w:p>
    <w:p w14:paraId="769A9E96" w14:textId="77777777" w:rsidR="004B2E1F" w:rsidRPr="00F513CD" w:rsidRDefault="004B2E1F" w:rsidP="00561BFE">
      <w:pPr>
        <w:numPr>
          <w:ilvl w:val="0"/>
          <w:numId w:val="12"/>
        </w:numPr>
        <w:spacing w:after="0" w:line="276" w:lineRule="auto"/>
        <w:contextualSpacing/>
        <w:rPr>
          <w:rFonts w:cs="Arial"/>
          <w:szCs w:val="24"/>
        </w:rPr>
      </w:pPr>
      <w:r w:rsidRPr="009D5612">
        <w:rPr>
          <w:rFonts w:cs="Arial"/>
          <w:szCs w:val="24"/>
        </w:rPr>
        <w:t>Personal health budgets (PHBs) and integrated personal budgets</w:t>
      </w:r>
      <w:r>
        <w:rPr>
          <w:rFonts w:cs="Arial"/>
          <w:szCs w:val="24"/>
        </w:rPr>
        <w:t>.</w:t>
      </w:r>
    </w:p>
    <w:p w14:paraId="24C2DC0D" w14:textId="77777777" w:rsidR="003B06BF" w:rsidRDefault="003B06BF" w:rsidP="00561BFE">
      <w:pPr>
        <w:spacing w:after="0" w:line="276" w:lineRule="auto"/>
        <w:rPr>
          <w:rFonts w:cstheme="minorHAnsi"/>
          <w:b/>
        </w:rPr>
      </w:pPr>
    </w:p>
    <w:p w14:paraId="6280A66D" w14:textId="77777777" w:rsidR="003B06BF" w:rsidRPr="009C3428" w:rsidRDefault="003B06BF" w:rsidP="00561BFE">
      <w:pPr>
        <w:spacing w:after="0" w:line="276" w:lineRule="auto"/>
        <w:rPr>
          <w:rFonts w:cstheme="minorHAnsi"/>
        </w:rPr>
      </w:pPr>
      <w:r>
        <w:rPr>
          <w:rFonts w:cstheme="minorHAnsi"/>
          <w:b/>
        </w:rPr>
        <w:t>Proposed phasing of service objectives from 2020/21 to 2023/24</w:t>
      </w:r>
    </w:p>
    <w:p w14:paraId="7C7D9D47" w14:textId="77777777" w:rsidR="003B06BF" w:rsidRPr="004674CF" w:rsidRDefault="003B06BF" w:rsidP="00561BFE">
      <w:pPr>
        <w:pStyle w:val="ListParagraph"/>
        <w:spacing w:line="276" w:lineRule="auto"/>
        <w:ind w:left="567"/>
        <w:rPr>
          <w:rFonts w:cstheme="minorHAnsi"/>
          <w:b/>
        </w:rPr>
      </w:pPr>
    </w:p>
    <w:p w14:paraId="7A07AC65" w14:textId="77777777" w:rsidR="004F0BC4" w:rsidRPr="004674CF" w:rsidRDefault="004B2E1F" w:rsidP="00561BFE">
      <w:pPr>
        <w:pStyle w:val="ListParagraph"/>
        <w:numPr>
          <w:ilvl w:val="1"/>
          <w:numId w:val="34"/>
        </w:numPr>
        <w:spacing w:line="276" w:lineRule="auto"/>
        <w:rPr>
          <w:rFonts w:cstheme="minorHAnsi"/>
          <w:b/>
        </w:rPr>
      </w:pPr>
      <w:r w:rsidRPr="00F513CD">
        <w:rPr>
          <w:rFonts w:cs="Arial"/>
          <w:szCs w:val="24"/>
        </w:rPr>
        <w:t xml:space="preserve">To achieve the benefits of personalised care the Comprehensive Model needs to be delivered in full. For example, social prescribing is more effective when it is delivered with a complementary approach to shared decision making. Over the four years of Network Contract DES, </w:t>
      </w:r>
      <w:r w:rsidR="004F0BC4">
        <w:rPr>
          <w:rFonts w:cs="Arial"/>
          <w:szCs w:val="24"/>
        </w:rPr>
        <w:t xml:space="preserve">we will phase in increasing levels of </w:t>
      </w:r>
      <w:r w:rsidRPr="00F513CD">
        <w:rPr>
          <w:rFonts w:cs="Arial"/>
          <w:szCs w:val="24"/>
        </w:rPr>
        <w:t>activity across the six component areas</w:t>
      </w:r>
      <w:r w:rsidR="004F0BC4">
        <w:rPr>
          <w:rFonts w:cs="Arial"/>
          <w:szCs w:val="24"/>
        </w:rPr>
        <w:t xml:space="preserve"> as summarised below:</w:t>
      </w:r>
    </w:p>
    <w:p w14:paraId="136D856C" w14:textId="77777777" w:rsidR="00BF020E" w:rsidRPr="004674CF" w:rsidRDefault="00BF020E" w:rsidP="00561BFE">
      <w:pPr>
        <w:pStyle w:val="ListParagraph"/>
        <w:spacing w:line="276" w:lineRule="auto"/>
        <w:ind w:left="567"/>
        <w:rPr>
          <w:rFonts w:cstheme="minorHAnsi"/>
          <w:b/>
        </w:rPr>
      </w:pPr>
    </w:p>
    <w:tbl>
      <w:tblPr>
        <w:tblStyle w:val="TableGrid"/>
        <w:tblW w:w="0" w:type="auto"/>
        <w:tblLook w:val="04A0" w:firstRow="1" w:lastRow="0" w:firstColumn="1" w:lastColumn="0" w:noHBand="0" w:noVBand="1"/>
      </w:tblPr>
      <w:tblGrid>
        <w:gridCol w:w="1129"/>
        <w:gridCol w:w="7887"/>
      </w:tblGrid>
      <w:tr w:rsidR="00BF020E" w14:paraId="76C1A2BB" w14:textId="77777777" w:rsidTr="004674CF">
        <w:tc>
          <w:tcPr>
            <w:tcW w:w="1129" w:type="dxa"/>
          </w:tcPr>
          <w:p w14:paraId="6BA434E8" w14:textId="77777777" w:rsidR="00BF020E" w:rsidRDefault="00BF020E" w:rsidP="00561BFE">
            <w:pPr>
              <w:spacing w:line="276" w:lineRule="auto"/>
              <w:rPr>
                <w:rFonts w:cs="Arial"/>
              </w:rPr>
            </w:pPr>
            <w:r>
              <w:rPr>
                <w:rFonts w:cs="Arial"/>
              </w:rPr>
              <w:t>2020/21</w:t>
            </w:r>
          </w:p>
        </w:tc>
        <w:tc>
          <w:tcPr>
            <w:tcW w:w="7887" w:type="dxa"/>
          </w:tcPr>
          <w:p w14:paraId="158E9CB9" w14:textId="77777777" w:rsidR="00BF020E" w:rsidRDefault="00BF020E" w:rsidP="00561BFE">
            <w:pPr>
              <w:spacing w:line="276" w:lineRule="auto"/>
              <w:rPr>
                <w:rFonts w:cs="Arial"/>
                <w:b/>
              </w:rPr>
            </w:pPr>
            <w:r>
              <w:rPr>
                <w:rFonts w:cs="Arial"/>
                <w:b/>
              </w:rPr>
              <w:t>Personalised Care and Support Planning</w:t>
            </w:r>
          </w:p>
          <w:p w14:paraId="1B1F232D" w14:textId="6BB95D3E" w:rsidR="00BF020E" w:rsidRPr="00C81129" w:rsidRDefault="00BF020E" w:rsidP="00561BFE">
            <w:pPr>
              <w:spacing w:line="276" w:lineRule="auto"/>
            </w:pPr>
            <w:r w:rsidRPr="00BF020E">
              <w:rPr>
                <w:rFonts w:cs="Arial"/>
              </w:rPr>
              <w:t>Requirement of personalised care and support plans to be in place for at least 5</w:t>
            </w:r>
            <w:r w:rsidR="006933C4">
              <w:rPr>
                <w:rFonts w:cs="Arial"/>
              </w:rPr>
              <w:t>-10</w:t>
            </w:r>
            <w:r w:rsidRPr="00BF020E">
              <w:rPr>
                <w:rFonts w:cs="Arial"/>
              </w:rPr>
              <w:t xml:space="preserve">:1000 weighted population. </w:t>
            </w:r>
            <w:r w:rsidR="00BD4324">
              <w:rPr>
                <w:rFonts w:cs="Arial"/>
              </w:rPr>
              <w:t>This must include</w:t>
            </w:r>
            <w:r w:rsidRPr="00BF020E">
              <w:rPr>
                <w:rFonts w:cstheme="minorHAnsi"/>
              </w:rPr>
              <w:t>:</w:t>
            </w:r>
          </w:p>
          <w:p w14:paraId="14953125" w14:textId="784422DC" w:rsidR="00BF020E" w:rsidRPr="001B24CE" w:rsidRDefault="006933C4" w:rsidP="00561BFE">
            <w:pPr>
              <w:pStyle w:val="ListParagraph"/>
              <w:numPr>
                <w:ilvl w:val="0"/>
                <w:numId w:val="17"/>
              </w:numPr>
              <w:spacing w:line="276" w:lineRule="auto"/>
              <w:rPr>
                <w:rFonts w:eastAsia="HGSMinchoE"/>
                <w:szCs w:val="24"/>
              </w:rPr>
            </w:pPr>
            <w:r>
              <w:rPr>
                <w:rFonts w:eastAsia="HGSMinchoE"/>
                <w:szCs w:val="24"/>
              </w:rPr>
              <w:t>All p</w:t>
            </w:r>
            <w:r w:rsidR="00BF020E">
              <w:rPr>
                <w:rFonts w:eastAsia="HGSMinchoE"/>
                <w:szCs w:val="24"/>
              </w:rPr>
              <w:t>eople in last 12 months of life</w:t>
            </w:r>
          </w:p>
          <w:p w14:paraId="3A8B09F8" w14:textId="68FA42FD" w:rsidR="00BF020E" w:rsidRDefault="006933C4" w:rsidP="00561BFE">
            <w:pPr>
              <w:pStyle w:val="ListParagraph"/>
              <w:numPr>
                <w:ilvl w:val="0"/>
                <w:numId w:val="17"/>
              </w:numPr>
              <w:spacing w:line="276" w:lineRule="auto"/>
              <w:rPr>
                <w:rFonts w:eastAsia="HGSMinchoE"/>
                <w:szCs w:val="24"/>
              </w:rPr>
            </w:pPr>
            <w:r>
              <w:rPr>
                <w:rFonts w:eastAsia="HGSMinchoE"/>
                <w:szCs w:val="24"/>
              </w:rPr>
              <w:t>All i</w:t>
            </w:r>
            <w:r w:rsidR="00BF020E">
              <w:rPr>
                <w:rFonts w:eastAsia="HGSMinchoE"/>
                <w:szCs w:val="24"/>
              </w:rPr>
              <w:t xml:space="preserve">ndividuals eligible in the </w:t>
            </w:r>
            <w:r w:rsidR="00BF020E" w:rsidRPr="004C119C">
              <w:rPr>
                <w:rFonts w:eastAsia="HGSMinchoE"/>
                <w:szCs w:val="24"/>
              </w:rPr>
              <w:t>Anticipatory Care and Enhanced Health in Care Homes</w:t>
            </w:r>
            <w:r w:rsidR="00BF020E" w:rsidRPr="001B24CE">
              <w:rPr>
                <w:rFonts w:eastAsia="HGSMinchoE"/>
                <w:szCs w:val="24"/>
              </w:rPr>
              <w:t xml:space="preserve"> </w:t>
            </w:r>
            <w:r w:rsidR="00BF020E">
              <w:rPr>
                <w:rFonts w:eastAsia="HGSMinchoE"/>
                <w:szCs w:val="24"/>
              </w:rPr>
              <w:t>cohorts</w:t>
            </w:r>
          </w:p>
          <w:p w14:paraId="030A4B69" w14:textId="77777777" w:rsidR="00BF020E" w:rsidRDefault="00BF020E" w:rsidP="00561BFE">
            <w:pPr>
              <w:spacing w:line="276" w:lineRule="auto"/>
            </w:pPr>
          </w:p>
          <w:p w14:paraId="3CFBA63B" w14:textId="77777777" w:rsidR="00BF020E" w:rsidRDefault="00BF020E" w:rsidP="00561BFE">
            <w:pPr>
              <w:spacing w:line="276" w:lineRule="auto"/>
              <w:rPr>
                <w:b/>
              </w:rPr>
            </w:pPr>
            <w:r>
              <w:rPr>
                <w:b/>
              </w:rPr>
              <w:t>Promotion of Personal Health Budgets</w:t>
            </w:r>
          </w:p>
          <w:p w14:paraId="1D24E9EC" w14:textId="77777777" w:rsidR="008E6365" w:rsidRDefault="008E6365" w:rsidP="00561BFE">
            <w:pPr>
              <w:spacing w:line="276" w:lineRule="auto"/>
            </w:pPr>
            <w:r>
              <w:t>Requirement to p</w:t>
            </w:r>
            <w:r w:rsidR="00BF020E">
              <w:t>romot</w:t>
            </w:r>
            <w:r>
              <w:t>e</w:t>
            </w:r>
            <w:r w:rsidR="00BF020E">
              <w:t xml:space="preserve"> </w:t>
            </w:r>
            <w:r>
              <w:t xml:space="preserve">of Personal Health Budgets </w:t>
            </w:r>
            <w:r w:rsidR="00BF020E">
              <w:t>for:</w:t>
            </w:r>
          </w:p>
          <w:p w14:paraId="2C2ECDF7" w14:textId="77777777" w:rsidR="00BF020E" w:rsidRPr="004C119C" w:rsidRDefault="00BF020E" w:rsidP="00561BFE">
            <w:pPr>
              <w:pStyle w:val="ListParagraph"/>
              <w:numPr>
                <w:ilvl w:val="0"/>
                <w:numId w:val="15"/>
              </w:numPr>
              <w:spacing w:line="276" w:lineRule="auto"/>
            </w:pPr>
            <w:r w:rsidRPr="004C119C">
              <w:rPr>
                <w:rFonts w:eastAsia="HGSMinchoE"/>
                <w:szCs w:val="24"/>
              </w:rPr>
              <w:t>People with a legal right to a P</w:t>
            </w:r>
            <w:r w:rsidR="008E6365">
              <w:rPr>
                <w:rFonts w:eastAsia="HGSMinchoE"/>
                <w:szCs w:val="24"/>
              </w:rPr>
              <w:t xml:space="preserve">ersonal </w:t>
            </w:r>
            <w:r w:rsidRPr="004C119C">
              <w:rPr>
                <w:rFonts w:eastAsia="HGSMinchoE"/>
                <w:szCs w:val="24"/>
              </w:rPr>
              <w:t>H</w:t>
            </w:r>
            <w:r w:rsidR="008E6365">
              <w:rPr>
                <w:rFonts w:eastAsia="HGSMinchoE"/>
                <w:szCs w:val="24"/>
              </w:rPr>
              <w:t xml:space="preserve">ealth </w:t>
            </w:r>
            <w:r w:rsidRPr="004C119C">
              <w:rPr>
                <w:rFonts w:eastAsia="HGSMinchoE"/>
                <w:szCs w:val="24"/>
              </w:rPr>
              <w:t>B</w:t>
            </w:r>
            <w:r w:rsidR="008E6365">
              <w:rPr>
                <w:rFonts w:eastAsia="HGSMinchoE"/>
                <w:szCs w:val="24"/>
              </w:rPr>
              <w:t>udget</w:t>
            </w:r>
          </w:p>
          <w:p w14:paraId="1AA03E4C" w14:textId="77777777" w:rsidR="00BF020E" w:rsidRPr="004674CF" w:rsidRDefault="00BF020E" w:rsidP="00561BFE">
            <w:pPr>
              <w:pStyle w:val="ListParagraph"/>
              <w:numPr>
                <w:ilvl w:val="0"/>
                <w:numId w:val="15"/>
              </w:numPr>
              <w:spacing w:line="276" w:lineRule="auto"/>
              <w:rPr>
                <w:rFonts w:eastAsia="HGSMinchoE"/>
                <w:b/>
                <w:szCs w:val="24"/>
              </w:rPr>
            </w:pPr>
            <w:r w:rsidRPr="00BF020E">
              <w:rPr>
                <w:rFonts w:eastAsia="HGSMinchoE"/>
                <w:szCs w:val="24"/>
              </w:rPr>
              <w:lastRenderedPageBreak/>
              <w:t>Any other cohorts identified as eligible for a P</w:t>
            </w:r>
            <w:r w:rsidR="008E6365">
              <w:rPr>
                <w:rFonts w:eastAsia="HGSMinchoE"/>
                <w:szCs w:val="24"/>
              </w:rPr>
              <w:t xml:space="preserve">ersonal </w:t>
            </w:r>
            <w:r w:rsidRPr="00BF020E">
              <w:rPr>
                <w:rFonts w:eastAsia="HGSMinchoE"/>
                <w:szCs w:val="24"/>
              </w:rPr>
              <w:t>H</w:t>
            </w:r>
            <w:r w:rsidR="008E6365">
              <w:rPr>
                <w:rFonts w:eastAsia="HGSMinchoE"/>
                <w:szCs w:val="24"/>
              </w:rPr>
              <w:t xml:space="preserve">ealth </w:t>
            </w:r>
            <w:r w:rsidRPr="00BF020E">
              <w:rPr>
                <w:rFonts w:eastAsia="HGSMinchoE"/>
                <w:szCs w:val="24"/>
              </w:rPr>
              <w:t>B</w:t>
            </w:r>
            <w:r w:rsidR="008E6365">
              <w:rPr>
                <w:rFonts w:eastAsia="HGSMinchoE"/>
                <w:szCs w:val="24"/>
              </w:rPr>
              <w:t>udget</w:t>
            </w:r>
            <w:r w:rsidRPr="00BF020E">
              <w:rPr>
                <w:rFonts w:eastAsia="HGSMinchoE"/>
                <w:szCs w:val="24"/>
              </w:rPr>
              <w:t xml:space="preserve"> within the CCG local offer</w:t>
            </w:r>
          </w:p>
          <w:p w14:paraId="10829A9E" w14:textId="77777777" w:rsidR="00BF020E" w:rsidRDefault="00BF020E" w:rsidP="00561BFE">
            <w:pPr>
              <w:spacing w:line="276" w:lineRule="auto"/>
              <w:rPr>
                <w:b/>
              </w:rPr>
            </w:pPr>
          </w:p>
          <w:p w14:paraId="7D724AEE" w14:textId="77777777" w:rsidR="00BF020E" w:rsidRDefault="00BF020E" w:rsidP="00561BFE">
            <w:pPr>
              <w:spacing w:line="276" w:lineRule="auto"/>
              <w:rPr>
                <w:b/>
              </w:rPr>
            </w:pPr>
            <w:r>
              <w:rPr>
                <w:b/>
              </w:rPr>
              <w:t>Shared Decision Making</w:t>
            </w:r>
          </w:p>
          <w:p w14:paraId="24B17AC2" w14:textId="77777777" w:rsidR="00BF020E" w:rsidRDefault="00BF020E" w:rsidP="00561BFE">
            <w:pPr>
              <w:spacing w:line="276" w:lineRule="auto"/>
            </w:pPr>
            <w:r w:rsidRPr="00BF020E">
              <w:t xml:space="preserve">Priority shared </w:t>
            </w:r>
            <w:r w:rsidR="007F4028" w:rsidRPr="00BF020E">
              <w:t>decision-making</w:t>
            </w:r>
            <w:r w:rsidRPr="00BF020E">
              <w:t xml:space="preserve"> clinical situations, to include at least:</w:t>
            </w:r>
          </w:p>
          <w:p w14:paraId="47BF2657" w14:textId="32166C12" w:rsidR="00BF020E" w:rsidRPr="004674CF" w:rsidRDefault="00BF020E"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r w:rsidR="008B2502">
              <w:rPr>
                <w:rFonts w:eastAsia="HGSMinchoE"/>
                <w:szCs w:val="24"/>
              </w:rPr>
              <w:t xml:space="preserve"> (led by physiotherapists)</w:t>
            </w:r>
          </w:p>
          <w:p w14:paraId="0B2EA47C" w14:textId="77777777" w:rsidR="00BF020E" w:rsidRDefault="00BF020E" w:rsidP="00561BFE">
            <w:pPr>
              <w:spacing w:line="276" w:lineRule="auto"/>
              <w:rPr>
                <w:b/>
              </w:rPr>
            </w:pPr>
          </w:p>
          <w:p w14:paraId="1768EA76" w14:textId="77777777" w:rsidR="00BF020E" w:rsidRDefault="008E6365" w:rsidP="00561BFE">
            <w:pPr>
              <w:spacing w:line="276" w:lineRule="auto"/>
              <w:rPr>
                <w:b/>
              </w:rPr>
            </w:pPr>
            <w:r>
              <w:rPr>
                <w:b/>
              </w:rPr>
              <w:t>Training and shared learning</w:t>
            </w:r>
          </w:p>
          <w:p w14:paraId="2EF77A4C" w14:textId="77777777" w:rsidR="008E6365" w:rsidRDefault="008E6365" w:rsidP="00561BFE">
            <w:pPr>
              <w:spacing w:line="276" w:lineRule="auto"/>
              <w:rPr>
                <w:rFonts w:cstheme="minorHAnsi"/>
              </w:rPr>
            </w:pPr>
            <w:r>
              <w:rPr>
                <w:rFonts w:cstheme="minorHAnsi"/>
              </w:rPr>
              <w:t>P</w:t>
            </w:r>
            <w:r w:rsidRPr="008E6365">
              <w:rPr>
                <w:rFonts w:cstheme="minorHAnsi"/>
              </w:rPr>
              <w:t xml:space="preserve">rioritise the following roles for training: </w:t>
            </w:r>
          </w:p>
          <w:p w14:paraId="671B8FBF" w14:textId="77777777" w:rsidR="008E6365" w:rsidRPr="00F03E82" w:rsidRDefault="008E6365" w:rsidP="00561BFE">
            <w:pPr>
              <w:pStyle w:val="ListParagraph"/>
              <w:numPr>
                <w:ilvl w:val="0"/>
                <w:numId w:val="18"/>
              </w:numPr>
              <w:spacing w:line="276" w:lineRule="auto"/>
              <w:rPr>
                <w:rFonts w:eastAsia="HGSMinchoE"/>
                <w:szCs w:val="24"/>
              </w:rPr>
            </w:pPr>
            <w:r>
              <w:rPr>
                <w:rFonts w:eastAsia="HGSMinchoE"/>
                <w:szCs w:val="24"/>
              </w:rPr>
              <w:t xml:space="preserve">Team members undertaking personal care and support planning conversations </w:t>
            </w:r>
          </w:p>
          <w:p w14:paraId="27667FEF" w14:textId="77777777" w:rsidR="008E6365" w:rsidRPr="00F03E82" w:rsidRDefault="008E6365" w:rsidP="00561BFE">
            <w:pPr>
              <w:pStyle w:val="ListParagraph"/>
              <w:numPr>
                <w:ilvl w:val="0"/>
                <w:numId w:val="18"/>
              </w:numPr>
              <w:spacing w:line="276" w:lineRule="auto"/>
              <w:rPr>
                <w:rFonts w:eastAsia="HGSMinchoE"/>
                <w:szCs w:val="24"/>
              </w:rPr>
            </w:pPr>
            <w:r>
              <w:rPr>
                <w:rFonts w:eastAsia="HGSMinchoE"/>
                <w:szCs w:val="24"/>
              </w:rPr>
              <w:t>C</w:t>
            </w:r>
            <w:r w:rsidRPr="00F03E82">
              <w:rPr>
                <w:rFonts w:eastAsia="HGSMinchoE"/>
                <w:szCs w:val="24"/>
              </w:rPr>
              <w:t>linical pharmacists</w:t>
            </w:r>
            <w:r>
              <w:rPr>
                <w:rFonts w:eastAsia="HGSMinchoE"/>
                <w:szCs w:val="24"/>
              </w:rPr>
              <w:t xml:space="preserve"> hosting Structured Medicine Reviews</w:t>
            </w:r>
            <w:r w:rsidRPr="00F03E82">
              <w:rPr>
                <w:rFonts w:eastAsia="HGSMinchoE"/>
                <w:szCs w:val="24"/>
              </w:rPr>
              <w:t xml:space="preserve"> </w:t>
            </w:r>
          </w:p>
          <w:p w14:paraId="2246BCBB" w14:textId="77777777" w:rsidR="008E6365" w:rsidRDefault="008E6365" w:rsidP="00561BFE">
            <w:pPr>
              <w:pStyle w:val="ListParagraph"/>
              <w:numPr>
                <w:ilvl w:val="0"/>
                <w:numId w:val="18"/>
              </w:numPr>
              <w:spacing w:line="276" w:lineRule="auto"/>
              <w:rPr>
                <w:rFonts w:eastAsia="HGSMinchoE"/>
                <w:szCs w:val="24"/>
              </w:rPr>
            </w:pPr>
            <w:r w:rsidRPr="00F03E82">
              <w:rPr>
                <w:rFonts w:eastAsia="HGSMinchoE"/>
                <w:szCs w:val="24"/>
              </w:rPr>
              <w:t>M</w:t>
            </w:r>
            <w:r>
              <w:rPr>
                <w:rFonts w:eastAsia="HGSMinchoE"/>
                <w:szCs w:val="24"/>
              </w:rPr>
              <w:t>SK</w:t>
            </w:r>
            <w:r w:rsidRPr="00F03E82">
              <w:rPr>
                <w:rFonts w:eastAsia="HGSMinchoE"/>
                <w:szCs w:val="24"/>
              </w:rPr>
              <w:t xml:space="preserve"> practitioners</w:t>
            </w:r>
          </w:p>
          <w:p w14:paraId="0EC321A9" w14:textId="77777777" w:rsidR="008E6365" w:rsidRPr="001C5E82" w:rsidRDefault="008E6365" w:rsidP="00561BFE">
            <w:pPr>
              <w:pStyle w:val="ListParagraph"/>
              <w:numPr>
                <w:ilvl w:val="0"/>
                <w:numId w:val="18"/>
              </w:numPr>
              <w:spacing w:line="276" w:lineRule="auto"/>
              <w:rPr>
                <w:rFonts w:eastAsia="HGSMinchoE"/>
                <w:szCs w:val="24"/>
              </w:rPr>
            </w:pPr>
            <w:r w:rsidRPr="001C5E82">
              <w:rPr>
                <w:rFonts w:eastAsia="HGSMinchoE"/>
                <w:szCs w:val="24"/>
              </w:rPr>
              <w:t>Social prescribing link workers</w:t>
            </w:r>
          </w:p>
          <w:p w14:paraId="6EEF0E0F" w14:textId="77777777" w:rsidR="008E6365" w:rsidRPr="004674CF" w:rsidRDefault="008E6365" w:rsidP="00561BFE">
            <w:pPr>
              <w:spacing w:line="276" w:lineRule="auto"/>
              <w:rPr>
                <w:b/>
              </w:rPr>
            </w:pPr>
          </w:p>
          <w:p w14:paraId="63FB4218" w14:textId="77777777" w:rsidR="00BF020E" w:rsidRDefault="00764E1B" w:rsidP="00561BFE">
            <w:pPr>
              <w:spacing w:line="276" w:lineRule="auto"/>
              <w:rPr>
                <w:rFonts w:cs="Arial"/>
                <w:b/>
              </w:rPr>
            </w:pPr>
            <w:r>
              <w:rPr>
                <w:rFonts w:cs="Arial"/>
                <w:b/>
              </w:rPr>
              <w:t>Social prescribing</w:t>
            </w:r>
          </w:p>
          <w:p w14:paraId="39237B3F" w14:textId="77777777" w:rsidR="00764E1B" w:rsidRPr="00764E1B" w:rsidRDefault="00764E1B" w:rsidP="00561BFE">
            <w:pPr>
              <w:spacing w:line="276" w:lineRule="auto"/>
            </w:pPr>
            <w:r>
              <w:t>Required</w:t>
            </w:r>
            <w:r w:rsidRPr="00764E1B">
              <w:t xml:space="preserve"> number of social prescribing referrals at least</w:t>
            </w:r>
            <w:r>
              <w:t>:</w:t>
            </w:r>
          </w:p>
          <w:p w14:paraId="213BE247" w14:textId="758598A6" w:rsidR="00764E1B" w:rsidRPr="008F5299" w:rsidRDefault="00764E1B" w:rsidP="00561BFE">
            <w:pPr>
              <w:pStyle w:val="ListParagraph"/>
              <w:numPr>
                <w:ilvl w:val="0"/>
                <w:numId w:val="22"/>
              </w:numPr>
              <w:spacing w:line="276" w:lineRule="auto"/>
              <w:rPr>
                <w:rFonts w:eastAsia="HGSMinchoE"/>
                <w:szCs w:val="24"/>
              </w:rPr>
            </w:pPr>
            <w:r w:rsidRPr="008F5299">
              <w:rPr>
                <w:rFonts w:eastAsia="HGSMinchoE"/>
                <w:szCs w:val="24"/>
              </w:rPr>
              <w:t>4</w:t>
            </w:r>
            <w:r w:rsidR="006933C4">
              <w:rPr>
                <w:rFonts w:eastAsia="HGSMinchoE"/>
                <w:szCs w:val="24"/>
              </w:rPr>
              <w:t>-8</w:t>
            </w:r>
            <w:r w:rsidRPr="008F5299">
              <w:rPr>
                <w:rFonts w:eastAsia="HGSMinchoE"/>
                <w:szCs w:val="24"/>
              </w:rPr>
              <w:t>:1000</w:t>
            </w:r>
            <w:r w:rsidR="00461533">
              <w:rPr>
                <w:rFonts w:eastAsia="HGSMinchoE"/>
                <w:szCs w:val="24"/>
              </w:rPr>
              <w:t xml:space="preserve"> weighted</w:t>
            </w:r>
            <w:r w:rsidRPr="008F5299">
              <w:rPr>
                <w:rFonts w:eastAsia="HGSMinchoE"/>
                <w:szCs w:val="24"/>
              </w:rPr>
              <w:t xml:space="preserve"> population. </w:t>
            </w:r>
          </w:p>
          <w:p w14:paraId="11646EB9" w14:textId="77777777" w:rsidR="00764E1B" w:rsidRDefault="00764E1B" w:rsidP="00561BFE">
            <w:pPr>
              <w:spacing w:line="276" w:lineRule="auto"/>
              <w:rPr>
                <w:rFonts w:cs="Arial"/>
                <w:b/>
              </w:rPr>
            </w:pPr>
          </w:p>
          <w:p w14:paraId="54F87A22" w14:textId="77777777" w:rsidR="00764E1B" w:rsidRDefault="0030735F" w:rsidP="00561BFE">
            <w:pPr>
              <w:spacing w:line="276" w:lineRule="auto"/>
              <w:rPr>
                <w:rFonts w:cs="Arial"/>
                <w:b/>
              </w:rPr>
            </w:pPr>
            <w:r>
              <w:rPr>
                <w:rFonts w:cs="Arial"/>
                <w:b/>
              </w:rPr>
              <w:t>Supported self-management</w:t>
            </w:r>
          </w:p>
          <w:p w14:paraId="5B725CC4" w14:textId="4BEF7731" w:rsidR="00BD4324" w:rsidRPr="00C81129" w:rsidRDefault="0030735F" w:rsidP="00561BFE">
            <w:pPr>
              <w:spacing w:line="276" w:lineRule="auto"/>
            </w:pPr>
            <w:r>
              <w:rPr>
                <w:rFonts w:cstheme="minorHAnsi"/>
              </w:rPr>
              <w:t xml:space="preserve">PCNs to use the </w:t>
            </w:r>
            <w:r w:rsidR="00461533">
              <w:rPr>
                <w:rFonts w:cstheme="minorHAnsi"/>
              </w:rPr>
              <w:t>Patient Activation Measure</w:t>
            </w:r>
            <w:r w:rsidR="00A257A1">
              <w:rPr>
                <w:rFonts w:cstheme="minorHAnsi"/>
              </w:rPr>
              <w:t xml:space="preserve"> (PAM)</w:t>
            </w:r>
            <w:r w:rsidR="00F306BE">
              <w:rPr>
                <w:rStyle w:val="FootnoteReference"/>
                <w:rFonts w:cstheme="minorHAnsi"/>
              </w:rPr>
              <w:footnoteReference w:id="12"/>
            </w:r>
            <w:r w:rsidR="00461533">
              <w:rPr>
                <w:rFonts w:cstheme="minorHAnsi"/>
              </w:rPr>
              <w:t xml:space="preserve"> </w:t>
            </w:r>
            <w:r>
              <w:rPr>
                <w:rFonts w:cstheme="minorHAnsi"/>
              </w:rPr>
              <w:t>for the following cohorts</w:t>
            </w:r>
            <w:r w:rsidR="00BD4324" w:rsidRPr="00BD4324">
              <w:rPr>
                <w:rFonts w:cstheme="minorHAnsi"/>
              </w:rPr>
              <w:t>:</w:t>
            </w:r>
          </w:p>
          <w:p w14:paraId="4D5DB30E" w14:textId="56ACFA6C" w:rsidR="00BD4324" w:rsidRDefault="00BD4324" w:rsidP="00561BFE">
            <w:pPr>
              <w:pStyle w:val="ListParagraph"/>
              <w:numPr>
                <w:ilvl w:val="0"/>
                <w:numId w:val="16"/>
              </w:numPr>
              <w:spacing w:line="276" w:lineRule="auto"/>
              <w:rPr>
                <w:rFonts w:eastAsia="HGSMinchoE"/>
                <w:szCs w:val="24"/>
              </w:rPr>
            </w:pPr>
            <w:r w:rsidRPr="001B24CE">
              <w:rPr>
                <w:rFonts w:eastAsia="HGSMinchoE"/>
                <w:szCs w:val="24"/>
              </w:rPr>
              <w:t>People living with</w:t>
            </w:r>
            <w:r w:rsidR="00A109DE">
              <w:rPr>
                <w:rFonts w:eastAsia="HGSMinchoE"/>
                <w:szCs w:val="24"/>
              </w:rPr>
              <w:t xml:space="preserve"> newly</w:t>
            </w:r>
            <w:r w:rsidRPr="001B24CE">
              <w:rPr>
                <w:rFonts w:eastAsia="HGSMinchoE"/>
                <w:szCs w:val="24"/>
              </w:rPr>
              <w:t xml:space="preserve"> </w:t>
            </w:r>
            <w:r>
              <w:rPr>
                <w:rFonts w:eastAsia="HGSMinchoE"/>
                <w:szCs w:val="24"/>
              </w:rPr>
              <w:t xml:space="preserve">diagnosed </w:t>
            </w:r>
            <w:r w:rsidRPr="001B24CE">
              <w:rPr>
                <w:rFonts w:eastAsia="HGSMinchoE"/>
                <w:szCs w:val="24"/>
              </w:rPr>
              <w:t>Type 2 diabetes</w:t>
            </w:r>
          </w:p>
          <w:p w14:paraId="1ED89B11" w14:textId="725D5AD9" w:rsidR="00764E1B" w:rsidRPr="00561BFE" w:rsidRDefault="00BD4324" w:rsidP="00561BFE">
            <w:pPr>
              <w:pStyle w:val="ListParagraph"/>
              <w:numPr>
                <w:ilvl w:val="0"/>
                <w:numId w:val="16"/>
              </w:numPr>
              <w:spacing w:line="276" w:lineRule="auto"/>
              <w:rPr>
                <w:rFonts w:eastAsia="HGSMinchoE"/>
                <w:szCs w:val="24"/>
              </w:rPr>
            </w:pPr>
            <w:r w:rsidRPr="001C5E82">
              <w:rPr>
                <w:rFonts w:eastAsia="HGSMinchoE"/>
                <w:szCs w:val="24"/>
              </w:rPr>
              <w:t>People referred to social prescribing link workers</w:t>
            </w:r>
          </w:p>
        </w:tc>
      </w:tr>
      <w:tr w:rsidR="00BD4324" w14:paraId="50637952" w14:textId="77777777" w:rsidTr="004674CF">
        <w:tc>
          <w:tcPr>
            <w:tcW w:w="1129" w:type="dxa"/>
          </w:tcPr>
          <w:p w14:paraId="7D8CCBAD" w14:textId="77777777" w:rsidR="00BD4324" w:rsidRDefault="00BD4324" w:rsidP="00561BFE">
            <w:pPr>
              <w:spacing w:line="276" w:lineRule="auto"/>
              <w:rPr>
                <w:rFonts w:cs="Arial"/>
              </w:rPr>
            </w:pPr>
            <w:r>
              <w:rPr>
                <w:rFonts w:cs="Arial"/>
              </w:rPr>
              <w:lastRenderedPageBreak/>
              <w:t>2021/22</w:t>
            </w:r>
          </w:p>
        </w:tc>
        <w:tc>
          <w:tcPr>
            <w:tcW w:w="7887" w:type="dxa"/>
          </w:tcPr>
          <w:p w14:paraId="1D6EB3D8" w14:textId="77777777" w:rsidR="00BD4324" w:rsidRDefault="00BD4324" w:rsidP="00561BFE">
            <w:pPr>
              <w:spacing w:line="276" w:lineRule="auto"/>
              <w:rPr>
                <w:rFonts w:cs="Arial"/>
                <w:b/>
              </w:rPr>
            </w:pPr>
            <w:r>
              <w:rPr>
                <w:rFonts w:cs="Arial"/>
                <w:b/>
              </w:rPr>
              <w:t>Personalised Care and Support Planning</w:t>
            </w:r>
          </w:p>
          <w:p w14:paraId="3AF63305" w14:textId="77777777" w:rsidR="00BD4324" w:rsidRDefault="00BD4324" w:rsidP="00561BFE">
            <w:pPr>
              <w:spacing w:line="276" w:lineRule="auto"/>
            </w:pPr>
            <w:r w:rsidRPr="00BF020E">
              <w:rPr>
                <w:rFonts w:cs="Arial"/>
              </w:rPr>
              <w:t xml:space="preserve">Requirement of personalised care and support plans to be in place for </w:t>
            </w:r>
            <w:r>
              <w:rPr>
                <w:rFonts w:cs="Arial"/>
              </w:rPr>
              <w:t>10-15</w:t>
            </w:r>
            <w:r w:rsidRPr="00BF020E">
              <w:rPr>
                <w:rFonts w:cs="Arial"/>
              </w:rPr>
              <w:t xml:space="preserve">:1000 weighted population. </w:t>
            </w:r>
          </w:p>
          <w:p w14:paraId="12102095" w14:textId="77777777" w:rsidR="00BD4324" w:rsidRDefault="00BD4324" w:rsidP="00561BFE">
            <w:pPr>
              <w:spacing w:line="276" w:lineRule="auto"/>
            </w:pPr>
          </w:p>
          <w:p w14:paraId="0FBEBED6" w14:textId="77777777" w:rsidR="00BD4324" w:rsidRDefault="00BD4324" w:rsidP="00561BFE">
            <w:pPr>
              <w:spacing w:line="276" w:lineRule="auto"/>
              <w:rPr>
                <w:b/>
              </w:rPr>
            </w:pPr>
            <w:r>
              <w:rPr>
                <w:b/>
              </w:rPr>
              <w:t>Promotion of Personal Health Budgets</w:t>
            </w:r>
          </w:p>
          <w:p w14:paraId="23ABCEE4" w14:textId="7BE8106A" w:rsidR="00BD4324" w:rsidRPr="00BD4324" w:rsidRDefault="00BD4324" w:rsidP="00561BFE">
            <w:pPr>
              <w:spacing w:line="276" w:lineRule="auto"/>
            </w:pPr>
            <w:r>
              <w:t>Continue to promote as per 2020/21, and d</w:t>
            </w:r>
            <w:r w:rsidRPr="008F5299">
              <w:t xml:space="preserve">evelop offer to directly provide </w:t>
            </w:r>
            <w:r>
              <w:t>Personal Health Budgets</w:t>
            </w:r>
            <w:r w:rsidRPr="008F5299">
              <w:t xml:space="preserve"> for specific cohorts</w:t>
            </w:r>
            <w:r w:rsidR="008B2502">
              <w:t xml:space="preserve"> </w:t>
            </w:r>
          </w:p>
          <w:p w14:paraId="112CCEAF" w14:textId="77777777" w:rsidR="00BD4324" w:rsidRDefault="00BD4324" w:rsidP="00561BFE">
            <w:pPr>
              <w:spacing w:line="276" w:lineRule="auto"/>
              <w:rPr>
                <w:b/>
              </w:rPr>
            </w:pPr>
          </w:p>
          <w:p w14:paraId="7F01B87B" w14:textId="77777777" w:rsidR="00BD4324" w:rsidRDefault="00BD4324" w:rsidP="00561BFE">
            <w:pPr>
              <w:spacing w:line="276" w:lineRule="auto"/>
              <w:rPr>
                <w:b/>
              </w:rPr>
            </w:pPr>
            <w:r>
              <w:rPr>
                <w:b/>
              </w:rPr>
              <w:t>Shared Decision Making</w:t>
            </w:r>
          </w:p>
          <w:p w14:paraId="000F4DA2" w14:textId="77777777" w:rsidR="00BD4324" w:rsidRDefault="00BD4324" w:rsidP="00561BFE">
            <w:pPr>
              <w:spacing w:line="276" w:lineRule="auto"/>
            </w:pPr>
            <w:r w:rsidRPr="00BF020E">
              <w:t xml:space="preserve">Priority shared </w:t>
            </w:r>
            <w:r w:rsidR="007F4028" w:rsidRPr="00BF020E">
              <w:t>decision-making</w:t>
            </w:r>
            <w:r w:rsidRPr="00BF020E">
              <w:t xml:space="preserve"> clinical situations, to include at least:</w:t>
            </w:r>
          </w:p>
          <w:p w14:paraId="6621F892" w14:textId="77777777" w:rsidR="00BD4324" w:rsidRPr="004674CF" w:rsidRDefault="00BD4324"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4049E623" w14:textId="77777777" w:rsidR="00461533" w:rsidRPr="007D1CE3"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6E0E9FCF" w14:textId="77777777" w:rsidR="00BD4324" w:rsidRDefault="00BD4324" w:rsidP="00561BFE">
            <w:pPr>
              <w:spacing w:line="276" w:lineRule="auto"/>
              <w:rPr>
                <w:b/>
              </w:rPr>
            </w:pPr>
          </w:p>
          <w:p w14:paraId="4215B2E6" w14:textId="77777777" w:rsidR="00BD4324" w:rsidRDefault="00BD4324" w:rsidP="00561BFE">
            <w:pPr>
              <w:spacing w:line="276" w:lineRule="auto"/>
              <w:rPr>
                <w:b/>
              </w:rPr>
            </w:pPr>
            <w:r>
              <w:rPr>
                <w:b/>
              </w:rPr>
              <w:t>Training and shared learning</w:t>
            </w:r>
          </w:p>
          <w:p w14:paraId="557CEE35" w14:textId="77777777" w:rsidR="00BD4324"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34CB3A20" w14:textId="77777777" w:rsidR="00BD4324" w:rsidRPr="007D1CE3" w:rsidRDefault="00BD4324" w:rsidP="00561BFE">
            <w:pPr>
              <w:spacing w:line="276" w:lineRule="auto"/>
              <w:rPr>
                <w:b/>
              </w:rPr>
            </w:pPr>
          </w:p>
          <w:p w14:paraId="7381B36A" w14:textId="77777777" w:rsidR="00BD4324" w:rsidRDefault="00BD4324" w:rsidP="00561BFE">
            <w:pPr>
              <w:spacing w:line="276" w:lineRule="auto"/>
              <w:rPr>
                <w:rFonts w:cs="Arial"/>
                <w:b/>
              </w:rPr>
            </w:pPr>
            <w:r>
              <w:rPr>
                <w:rFonts w:cs="Arial"/>
                <w:b/>
              </w:rPr>
              <w:t>Social prescribing</w:t>
            </w:r>
          </w:p>
          <w:p w14:paraId="51CCE8E3" w14:textId="77777777" w:rsidR="00BD4324" w:rsidRPr="00764E1B" w:rsidRDefault="00BD4324" w:rsidP="00561BFE">
            <w:pPr>
              <w:spacing w:line="276" w:lineRule="auto"/>
            </w:pPr>
            <w:r>
              <w:t>Required</w:t>
            </w:r>
            <w:r w:rsidRPr="00764E1B">
              <w:t xml:space="preserve"> number of social prescribing referrals</w:t>
            </w:r>
            <w:r>
              <w:t>:</w:t>
            </w:r>
          </w:p>
          <w:p w14:paraId="3D0F1E36" w14:textId="77777777" w:rsidR="00BD4324" w:rsidRPr="008F5299" w:rsidRDefault="00461533" w:rsidP="00561BFE">
            <w:pPr>
              <w:pStyle w:val="ListParagraph"/>
              <w:numPr>
                <w:ilvl w:val="0"/>
                <w:numId w:val="35"/>
              </w:numPr>
              <w:spacing w:line="276" w:lineRule="auto"/>
              <w:rPr>
                <w:rFonts w:eastAsia="HGSMinchoE"/>
                <w:szCs w:val="24"/>
              </w:rPr>
            </w:pPr>
            <w:r>
              <w:rPr>
                <w:rFonts w:eastAsia="HGSMinchoE"/>
                <w:szCs w:val="24"/>
              </w:rPr>
              <w:t>8-12</w:t>
            </w:r>
            <w:r w:rsidR="00BD4324" w:rsidRPr="008F5299">
              <w:rPr>
                <w:rFonts w:eastAsia="HGSMinchoE"/>
                <w:szCs w:val="24"/>
              </w:rPr>
              <w:t xml:space="preserve">:1000 </w:t>
            </w:r>
            <w:r>
              <w:rPr>
                <w:rFonts w:eastAsia="HGSMinchoE"/>
                <w:szCs w:val="24"/>
              </w:rPr>
              <w:t xml:space="preserve">weighted </w:t>
            </w:r>
            <w:r w:rsidR="00BD4324" w:rsidRPr="008F5299">
              <w:rPr>
                <w:rFonts w:eastAsia="HGSMinchoE"/>
                <w:szCs w:val="24"/>
              </w:rPr>
              <w:t xml:space="preserve">population. </w:t>
            </w:r>
          </w:p>
          <w:p w14:paraId="0806DDFB" w14:textId="77777777" w:rsidR="00BD4324" w:rsidRDefault="00BD4324" w:rsidP="00561BFE">
            <w:pPr>
              <w:spacing w:line="276" w:lineRule="auto"/>
              <w:rPr>
                <w:rFonts w:cs="Arial"/>
                <w:b/>
              </w:rPr>
            </w:pPr>
          </w:p>
          <w:p w14:paraId="0A7E89EE" w14:textId="77777777" w:rsidR="00BD4324" w:rsidRDefault="0030735F" w:rsidP="00561BFE">
            <w:pPr>
              <w:spacing w:line="276" w:lineRule="auto"/>
              <w:rPr>
                <w:rFonts w:cs="Arial"/>
                <w:b/>
              </w:rPr>
            </w:pPr>
            <w:r>
              <w:rPr>
                <w:rFonts w:cs="Arial"/>
                <w:b/>
              </w:rPr>
              <w:t>Supported self-management</w:t>
            </w:r>
          </w:p>
          <w:p w14:paraId="07011A88" w14:textId="59C94BE5" w:rsidR="00BD4324" w:rsidRPr="00561BFE" w:rsidRDefault="0030735F" w:rsidP="00561BFE">
            <w:pPr>
              <w:pStyle w:val="ListParagraph"/>
              <w:numPr>
                <w:ilvl w:val="0"/>
                <w:numId w:val="35"/>
              </w:numPr>
              <w:spacing w:line="276" w:lineRule="auto"/>
              <w:rPr>
                <w:rFonts w:eastAsia="HGSMinchoE"/>
                <w:szCs w:val="24"/>
              </w:rPr>
            </w:pPr>
            <w:r>
              <w:rPr>
                <w:rFonts w:eastAsia="HGSMinchoE"/>
                <w:szCs w:val="24"/>
              </w:rPr>
              <w:t>PCNs to use the Patient Activation Measure for a</w:t>
            </w:r>
            <w:r w:rsidR="00461533">
              <w:rPr>
                <w:rFonts w:eastAsia="HGSMinchoE"/>
                <w:szCs w:val="24"/>
              </w:rPr>
              <w:t>dditional cohorts to be confirmed.</w:t>
            </w:r>
          </w:p>
        </w:tc>
      </w:tr>
      <w:tr w:rsidR="00461533" w14:paraId="6557B81F" w14:textId="77777777" w:rsidTr="004674CF">
        <w:tc>
          <w:tcPr>
            <w:tcW w:w="1129" w:type="dxa"/>
          </w:tcPr>
          <w:p w14:paraId="1332152F" w14:textId="77777777" w:rsidR="00461533" w:rsidRDefault="00461533" w:rsidP="00561BFE">
            <w:pPr>
              <w:spacing w:line="276" w:lineRule="auto"/>
              <w:rPr>
                <w:rFonts w:cs="Arial"/>
              </w:rPr>
            </w:pPr>
            <w:r>
              <w:rPr>
                <w:rFonts w:cs="Arial"/>
              </w:rPr>
              <w:lastRenderedPageBreak/>
              <w:t>2022/23</w:t>
            </w:r>
          </w:p>
        </w:tc>
        <w:tc>
          <w:tcPr>
            <w:tcW w:w="7887" w:type="dxa"/>
          </w:tcPr>
          <w:p w14:paraId="0363701D" w14:textId="77777777" w:rsidR="00461533" w:rsidRDefault="00461533" w:rsidP="00561BFE">
            <w:pPr>
              <w:spacing w:line="276" w:lineRule="auto"/>
              <w:rPr>
                <w:rFonts w:cs="Arial"/>
                <w:b/>
              </w:rPr>
            </w:pPr>
            <w:r>
              <w:rPr>
                <w:rFonts w:cs="Arial"/>
                <w:b/>
              </w:rPr>
              <w:t>Personalised Care and Support Planning</w:t>
            </w:r>
          </w:p>
          <w:p w14:paraId="18D0B951" w14:textId="77777777" w:rsidR="00461533" w:rsidRDefault="00461533" w:rsidP="00561BFE">
            <w:pPr>
              <w:spacing w:line="276" w:lineRule="auto"/>
            </w:pPr>
            <w:r w:rsidRPr="00BF020E">
              <w:rPr>
                <w:rFonts w:cs="Arial"/>
              </w:rPr>
              <w:t xml:space="preserve">Requirement of personalised care and support plans to be in place for </w:t>
            </w:r>
            <w:r>
              <w:rPr>
                <w:rFonts w:cs="Arial"/>
              </w:rPr>
              <w:t>15-20</w:t>
            </w:r>
            <w:r w:rsidRPr="00BF020E">
              <w:rPr>
                <w:rFonts w:cs="Arial"/>
              </w:rPr>
              <w:t xml:space="preserve">:1000 weighted population. </w:t>
            </w:r>
          </w:p>
          <w:p w14:paraId="1A62156C" w14:textId="77777777" w:rsidR="00461533" w:rsidRDefault="00461533" w:rsidP="00561BFE">
            <w:pPr>
              <w:spacing w:line="276" w:lineRule="auto"/>
            </w:pPr>
          </w:p>
          <w:p w14:paraId="3FDC7E2A" w14:textId="77777777" w:rsidR="00461533" w:rsidRDefault="00461533" w:rsidP="00561BFE">
            <w:pPr>
              <w:spacing w:line="276" w:lineRule="auto"/>
              <w:rPr>
                <w:b/>
              </w:rPr>
            </w:pPr>
            <w:r>
              <w:rPr>
                <w:b/>
              </w:rPr>
              <w:t>Promotion of Personal Health Budgets</w:t>
            </w:r>
          </w:p>
          <w:p w14:paraId="08E0F85D" w14:textId="77777777" w:rsidR="00461533" w:rsidRPr="00BD4324" w:rsidRDefault="00461533" w:rsidP="00561BFE">
            <w:pPr>
              <w:spacing w:line="276" w:lineRule="auto"/>
            </w:pPr>
            <w:r>
              <w:t xml:space="preserve">Continue to promote as per 2020/21, and begin to </w:t>
            </w:r>
            <w:r w:rsidRPr="008F5299">
              <w:t xml:space="preserve">offer </w:t>
            </w:r>
            <w:r>
              <w:t>Personal Health Budgets</w:t>
            </w:r>
            <w:r w:rsidRPr="008F5299">
              <w:t xml:space="preserve"> </w:t>
            </w:r>
            <w:r>
              <w:t xml:space="preserve">directly </w:t>
            </w:r>
            <w:r w:rsidRPr="008F5299">
              <w:t>for specific cohorts</w:t>
            </w:r>
          </w:p>
          <w:p w14:paraId="7F54CF26" w14:textId="77777777" w:rsidR="00461533" w:rsidRDefault="00461533" w:rsidP="00561BFE">
            <w:pPr>
              <w:spacing w:line="276" w:lineRule="auto"/>
              <w:rPr>
                <w:b/>
              </w:rPr>
            </w:pPr>
            <w:r>
              <w:rPr>
                <w:b/>
              </w:rPr>
              <w:t>Shared Decision Making</w:t>
            </w:r>
          </w:p>
          <w:p w14:paraId="739BCEFA" w14:textId="77777777" w:rsidR="00461533" w:rsidRDefault="00461533" w:rsidP="00561BFE">
            <w:pPr>
              <w:spacing w:line="276" w:lineRule="auto"/>
            </w:pPr>
            <w:r w:rsidRPr="00BF020E">
              <w:t xml:space="preserve">Priority shared </w:t>
            </w:r>
            <w:r w:rsidR="007F4028" w:rsidRPr="00BF020E">
              <w:t>decision-making</w:t>
            </w:r>
            <w:r w:rsidRPr="00BF020E">
              <w:t xml:space="preserve"> clinical situations, to include at least:</w:t>
            </w:r>
          </w:p>
          <w:p w14:paraId="3B60357F" w14:textId="77777777" w:rsidR="00461533" w:rsidRPr="007D1CE3" w:rsidRDefault="00461533"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74F11988" w14:textId="77777777" w:rsidR="00461533" w:rsidRPr="004674CF"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606D72C9" w14:textId="77777777" w:rsidR="00461533" w:rsidRPr="007D1CE3" w:rsidRDefault="00461533" w:rsidP="00561BFE">
            <w:pPr>
              <w:pStyle w:val="ListParagraph"/>
              <w:numPr>
                <w:ilvl w:val="0"/>
                <w:numId w:val="35"/>
              </w:numPr>
              <w:spacing w:line="276" w:lineRule="auto"/>
              <w:rPr>
                <w:rFonts w:eastAsia="HGSMinchoE"/>
                <w:b/>
                <w:szCs w:val="24"/>
              </w:rPr>
            </w:pPr>
            <w:r>
              <w:rPr>
                <w:rFonts w:eastAsia="HGSMinchoE"/>
                <w:szCs w:val="24"/>
              </w:rPr>
              <w:t>Additional clinical situations to be confirmed.</w:t>
            </w:r>
          </w:p>
          <w:p w14:paraId="61D976F0" w14:textId="77777777" w:rsidR="00461533" w:rsidRDefault="00461533" w:rsidP="00561BFE">
            <w:pPr>
              <w:spacing w:line="276" w:lineRule="auto"/>
              <w:rPr>
                <w:b/>
              </w:rPr>
            </w:pPr>
          </w:p>
          <w:p w14:paraId="6EB4C0EF" w14:textId="77777777" w:rsidR="00461533" w:rsidRDefault="00461533" w:rsidP="00561BFE">
            <w:pPr>
              <w:spacing w:line="276" w:lineRule="auto"/>
              <w:rPr>
                <w:b/>
              </w:rPr>
            </w:pPr>
            <w:r>
              <w:rPr>
                <w:b/>
              </w:rPr>
              <w:t>Training and shared learning</w:t>
            </w:r>
          </w:p>
          <w:p w14:paraId="275A724F" w14:textId="77777777" w:rsidR="00461533"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53E00050" w14:textId="77777777" w:rsidR="00461533" w:rsidRPr="007D1CE3" w:rsidRDefault="00461533" w:rsidP="00561BFE">
            <w:pPr>
              <w:spacing w:line="276" w:lineRule="auto"/>
              <w:rPr>
                <w:b/>
              </w:rPr>
            </w:pPr>
          </w:p>
          <w:p w14:paraId="5378DF11" w14:textId="77777777" w:rsidR="00461533" w:rsidRDefault="00461533" w:rsidP="00561BFE">
            <w:pPr>
              <w:spacing w:line="276" w:lineRule="auto"/>
              <w:rPr>
                <w:rFonts w:cs="Arial"/>
                <w:b/>
              </w:rPr>
            </w:pPr>
            <w:r>
              <w:rPr>
                <w:rFonts w:cs="Arial"/>
                <w:b/>
              </w:rPr>
              <w:t>Social prescribing</w:t>
            </w:r>
          </w:p>
          <w:p w14:paraId="5F127F7E" w14:textId="77777777" w:rsidR="00461533" w:rsidRPr="00764E1B" w:rsidRDefault="00461533" w:rsidP="00561BFE">
            <w:pPr>
              <w:spacing w:line="276" w:lineRule="auto"/>
            </w:pPr>
            <w:r>
              <w:t>Required</w:t>
            </w:r>
            <w:r w:rsidRPr="00764E1B">
              <w:t xml:space="preserve"> number of social prescribing referrals</w:t>
            </w:r>
            <w:r>
              <w:t>:</w:t>
            </w:r>
          </w:p>
          <w:p w14:paraId="63B1E953" w14:textId="77777777" w:rsidR="00461533" w:rsidRPr="008F5299" w:rsidRDefault="00461533" w:rsidP="00561BFE">
            <w:pPr>
              <w:pStyle w:val="ListParagraph"/>
              <w:numPr>
                <w:ilvl w:val="0"/>
                <w:numId w:val="35"/>
              </w:numPr>
              <w:spacing w:line="276" w:lineRule="auto"/>
              <w:rPr>
                <w:rFonts w:eastAsia="HGSMinchoE"/>
                <w:szCs w:val="24"/>
              </w:rPr>
            </w:pPr>
            <w:r>
              <w:rPr>
                <w:rFonts w:eastAsia="HGSMinchoE"/>
                <w:szCs w:val="24"/>
              </w:rPr>
              <w:t>12-16</w:t>
            </w:r>
            <w:r w:rsidRPr="008F5299">
              <w:rPr>
                <w:rFonts w:eastAsia="HGSMinchoE"/>
                <w:szCs w:val="24"/>
              </w:rPr>
              <w:t xml:space="preserve">:1000 </w:t>
            </w:r>
            <w:r>
              <w:rPr>
                <w:rFonts w:eastAsia="HGSMinchoE"/>
                <w:szCs w:val="24"/>
              </w:rPr>
              <w:t xml:space="preserve">weighted </w:t>
            </w:r>
            <w:r w:rsidRPr="008F5299">
              <w:rPr>
                <w:rFonts w:eastAsia="HGSMinchoE"/>
                <w:szCs w:val="24"/>
              </w:rPr>
              <w:t xml:space="preserve">population. </w:t>
            </w:r>
          </w:p>
          <w:p w14:paraId="3B510C37" w14:textId="77777777" w:rsidR="00461533" w:rsidRDefault="00461533" w:rsidP="00561BFE">
            <w:pPr>
              <w:spacing w:line="276" w:lineRule="auto"/>
              <w:rPr>
                <w:rFonts w:cs="Arial"/>
                <w:b/>
              </w:rPr>
            </w:pPr>
          </w:p>
          <w:p w14:paraId="2F4E6582" w14:textId="77777777" w:rsidR="0030735F" w:rsidRDefault="0030735F" w:rsidP="00561BFE">
            <w:pPr>
              <w:spacing w:line="276" w:lineRule="auto"/>
              <w:rPr>
                <w:rFonts w:cs="Arial"/>
                <w:b/>
              </w:rPr>
            </w:pPr>
            <w:r>
              <w:rPr>
                <w:rFonts w:cs="Arial"/>
                <w:b/>
              </w:rPr>
              <w:t>Supported self-management</w:t>
            </w:r>
          </w:p>
          <w:p w14:paraId="231485A4" w14:textId="660533B9" w:rsidR="00461533" w:rsidRPr="00561BFE" w:rsidRDefault="0030735F" w:rsidP="00561BFE">
            <w:pPr>
              <w:pStyle w:val="ListParagraph"/>
              <w:numPr>
                <w:ilvl w:val="0"/>
                <w:numId w:val="35"/>
              </w:numPr>
              <w:spacing w:line="276" w:lineRule="auto"/>
              <w:rPr>
                <w:rFonts w:eastAsia="HGSMinchoE"/>
                <w:szCs w:val="24"/>
              </w:rPr>
            </w:pPr>
            <w:r>
              <w:rPr>
                <w:rFonts w:eastAsia="HGSMinchoE"/>
                <w:szCs w:val="24"/>
              </w:rPr>
              <w:t>PCNs to use the Patient Activation Measure for additional cohorts to be confirmed.</w:t>
            </w:r>
          </w:p>
        </w:tc>
      </w:tr>
      <w:tr w:rsidR="00461533" w14:paraId="38509C38" w14:textId="77777777" w:rsidTr="004674CF">
        <w:tc>
          <w:tcPr>
            <w:tcW w:w="1129" w:type="dxa"/>
          </w:tcPr>
          <w:p w14:paraId="713F6B67" w14:textId="77777777" w:rsidR="00461533" w:rsidRDefault="00461533" w:rsidP="00561BFE">
            <w:pPr>
              <w:spacing w:line="276" w:lineRule="auto"/>
              <w:rPr>
                <w:rFonts w:cs="Arial"/>
              </w:rPr>
            </w:pPr>
            <w:r>
              <w:rPr>
                <w:rFonts w:cs="Arial"/>
              </w:rPr>
              <w:t>2023/24</w:t>
            </w:r>
          </w:p>
        </w:tc>
        <w:tc>
          <w:tcPr>
            <w:tcW w:w="7887" w:type="dxa"/>
          </w:tcPr>
          <w:p w14:paraId="29084F12" w14:textId="77777777" w:rsidR="00461533" w:rsidRDefault="00461533" w:rsidP="00561BFE">
            <w:pPr>
              <w:spacing w:line="276" w:lineRule="auto"/>
              <w:rPr>
                <w:rFonts w:cs="Arial"/>
                <w:b/>
              </w:rPr>
            </w:pPr>
            <w:r>
              <w:rPr>
                <w:rFonts w:cs="Arial"/>
                <w:b/>
              </w:rPr>
              <w:t>Personalised Care and Support Planning</w:t>
            </w:r>
          </w:p>
          <w:p w14:paraId="3ECE3ABC" w14:textId="77777777" w:rsidR="00461533" w:rsidRDefault="00461533" w:rsidP="00561BFE">
            <w:pPr>
              <w:spacing w:line="276" w:lineRule="auto"/>
            </w:pPr>
            <w:r w:rsidRPr="00BF020E">
              <w:rPr>
                <w:rFonts w:cs="Arial"/>
              </w:rPr>
              <w:t xml:space="preserve">Requirement of personalised care and support plans to be in place for </w:t>
            </w:r>
            <w:r>
              <w:rPr>
                <w:rFonts w:cs="Arial"/>
              </w:rPr>
              <w:t>20-25</w:t>
            </w:r>
            <w:r w:rsidRPr="00BF020E">
              <w:rPr>
                <w:rFonts w:cs="Arial"/>
              </w:rPr>
              <w:t xml:space="preserve">:1000 weighted population. </w:t>
            </w:r>
          </w:p>
          <w:p w14:paraId="08B005EF" w14:textId="77777777" w:rsidR="00461533" w:rsidRDefault="00461533" w:rsidP="00561BFE">
            <w:pPr>
              <w:spacing w:line="276" w:lineRule="auto"/>
            </w:pPr>
          </w:p>
          <w:p w14:paraId="63E047D0" w14:textId="77777777" w:rsidR="00461533" w:rsidRDefault="00461533" w:rsidP="00561BFE">
            <w:pPr>
              <w:spacing w:line="276" w:lineRule="auto"/>
              <w:rPr>
                <w:b/>
              </w:rPr>
            </w:pPr>
            <w:r>
              <w:rPr>
                <w:b/>
              </w:rPr>
              <w:t>Promotion of Personal Health Budgets</w:t>
            </w:r>
          </w:p>
          <w:p w14:paraId="2E2FD3ED" w14:textId="77777777" w:rsidR="00461533" w:rsidRPr="00BD4324" w:rsidRDefault="00461533" w:rsidP="00561BFE">
            <w:pPr>
              <w:spacing w:line="276" w:lineRule="auto"/>
            </w:pPr>
            <w:r>
              <w:t xml:space="preserve">Continue to promote as per 2020/21, and have in place a clear </w:t>
            </w:r>
            <w:r w:rsidRPr="008F5299">
              <w:t xml:space="preserve">offer </w:t>
            </w:r>
            <w:r>
              <w:t>of Personal Health Budgets</w:t>
            </w:r>
            <w:r w:rsidRPr="008F5299">
              <w:t xml:space="preserve"> </w:t>
            </w:r>
            <w:r>
              <w:t xml:space="preserve">directly </w:t>
            </w:r>
            <w:r w:rsidRPr="008F5299">
              <w:t>for specific cohorts</w:t>
            </w:r>
          </w:p>
          <w:p w14:paraId="7BE1EB02" w14:textId="77777777" w:rsidR="00461533" w:rsidRDefault="00461533" w:rsidP="00561BFE">
            <w:pPr>
              <w:spacing w:line="276" w:lineRule="auto"/>
              <w:rPr>
                <w:b/>
              </w:rPr>
            </w:pPr>
          </w:p>
          <w:p w14:paraId="2501A99C" w14:textId="77777777" w:rsidR="00461533" w:rsidRDefault="00461533" w:rsidP="00561BFE">
            <w:pPr>
              <w:spacing w:line="276" w:lineRule="auto"/>
              <w:rPr>
                <w:b/>
              </w:rPr>
            </w:pPr>
            <w:r>
              <w:rPr>
                <w:b/>
              </w:rPr>
              <w:t>Shared Decision Making</w:t>
            </w:r>
          </w:p>
          <w:p w14:paraId="4BD47F24" w14:textId="77777777" w:rsidR="00461533" w:rsidRDefault="00461533" w:rsidP="00561BFE">
            <w:pPr>
              <w:spacing w:line="276" w:lineRule="auto"/>
            </w:pPr>
            <w:r w:rsidRPr="00BF020E">
              <w:t xml:space="preserve">Priority shared </w:t>
            </w:r>
            <w:r w:rsidR="007F4028" w:rsidRPr="00BF020E">
              <w:t>decision-making</w:t>
            </w:r>
            <w:r w:rsidRPr="00BF020E">
              <w:t xml:space="preserve"> clinical situations, to include at least:</w:t>
            </w:r>
          </w:p>
          <w:p w14:paraId="321E6E22" w14:textId="77777777" w:rsidR="00461533" w:rsidRPr="007D1CE3" w:rsidRDefault="00461533"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5473D0F6" w14:textId="77777777" w:rsidR="00461533" w:rsidRPr="007D1CE3"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7A24598F" w14:textId="77777777" w:rsidR="00461533" w:rsidRPr="007D1CE3" w:rsidRDefault="00461533" w:rsidP="00561BFE">
            <w:pPr>
              <w:pStyle w:val="ListParagraph"/>
              <w:numPr>
                <w:ilvl w:val="0"/>
                <w:numId w:val="35"/>
              </w:numPr>
              <w:spacing w:line="276" w:lineRule="auto"/>
              <w:rPr>
                <w:rFonts w:eastAsia="HGSMinchoE"/>
                <w:b/>
                <w:szCs w:val="24"/>
              </w:rPr>
            </w:pPr>
            <w:r>
              <w:rPr>
                <w:rFonts w:eastAsia="HGSMinchoE"/>
                <w:szCs w:val="24"/>
              </w:rPr>
              <w:lastRenderedPageBreak/>
              <w:t>Additional clinical situations to be confirmed.</w:t>
            </w:r>
          </w:p>
          <w:p w14:paraId="5F8CCE3D" w14:textId="77777777" w:rsidR="00461533" w:rsidRDefault="00461533" w:rsidP="00561BFE">
            <w:pPr>
              <w:spacing w:line="276" w:lineRule="auto"/>
              <w:rPr>
                <w:b/>
              </w:rPr>
            </w:pPr>
          </w:p>
          <w:p w14:paraId="37D0EDC6" w14:textId="77777777" w:rsidR="00461533" w:rsidRDefault="00461533" w:rsidP="00561BFE">
            <w:pPr>
              <w:spacing w:line="276" w:lineRule="auto"/>
              <w:rPr>
                <w:b/>
              </w:rPr>
            </w:pPr>
            <w:r>
              <w:rPr>
                <w:b/>
              </w:rPr>
              <w:t>Training and shared learning</w:t>
            </w:r>
          </w:p>
          <w:p w14:paraId="653EA92F" w14:textId="77777777" w:rsidR="00461533"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2FED4B43" w14:textId="77777777" w:rsidR="00461533" w:rsidRPr="007D1CE3" w:rsidRDefault="00461533" w:rsidP="00561BFE">
            <w:pPr>
              <w:spacing w:line="276" w:lineRule="auto"/>
              <w:rPr>
                <w:b/>
              </w:rPr>
            </w:pPr>
          </w:p>
          <w:p w14:paraId="3D6D255A" w14:textId="77777777" w:rsidR="00461533" w:rsidRDefault="00461533" w:rsidP="00561BFE">
            <w:pPr>
              <w:spacing w:line="276" w:lineRule="auto"/>
              <w:rPr>
                <w:rFonts w:cs="Arial"/>
                <w:b/>
              </w:rPr>
            </w:pPr>
            <w:r>
              <w:rPr>
                <w:rFonts w:cs="Arial"/>
                <w:b/>
              </w:rPr>
              <w:t>Social prescribing</w:t>
            </w:r>
          </w:p>
          <w:p w14:paraId="1F3EC9A2" w14:textId="77777777" w:rsidR="00461533" w:rsidRPr="00764E1B" w:rsidRDefault="00461533" w:rsidP="00561BFE">
            <w:pPr>
              <w:spacing w:line="276" w:lineRule="auto"/>
            </w:pPr>
            <w:r>
              <w:t>Required</w:t>
            </w:r>
            <w:r w:rsidRPr="00764E1B">
              <w:t xml:space="preserve"> number of social prescribing referrals</w:t>
            </w:r>
            <w:r>
              <w:t>:</w:t>
            </w:r>
          </w:p>
          <w:p w14:paraId="46CA20D2" w14:textId="77777777" w:rsidR="00461533" w:rsidRPr="008F5299" w:rsidRDefault="00461533" w:rsidP="00561BFE">
            <w:pPr>
              <w:pStyle w:val="ListParagraph"/>
              <w:numPr>
                <w:ilvl w:val="0"/>
                <w:numId w:val="35"/>
              </w:numPr>
              <w:spacing w:line="276" w:lineRule="auto"/>
              <w:rPr>
                <w:rFonts w:eastAsia="HGSMinchoE"/>
                <w:szCs w:val="24"/>
              </w:rPr>
            </w:pPr>
            <w:r>
              <w:rPr>
                <w:rFonts w:eastAsia="HGSMinchoE"/>
                <w:szCs w:val="24"/>
              </w:rPr>
              <w:t>16-22</w:t>
            </w:r>
            <w:r w:rsidRPr="008F5299">
              <w:rPr>
                <w:rFonts w:eastAsia="HGSMinchoE"/>
                <w:szCs w:val="24"/>
              </w:rPr>
              <w:t xml:space="preserve">:1000 </w:t>
            </w:r>
            <w:r>
              <w:rPr>
                <w:rFonts w:eastAsia="HGSMinchoE"/>
                <w:szCs w:val="24"/>
              </w:rPr>
              <w:t xml:space="preserve">weighted </w:t>
            </w:r>
            <w:r w:rsidRPr="008F5299">
              <w:rPr>
                <w:rFonts w:eastAsia="HGSMinchoE"/>
                <w:szCs w:val="24"/>
              </w:rPr>
              <w:t xml:space="preserve">population. </w:t>
            </w:r>
          </w:p>
          <w:p w14:paraId="5359F161" w14:textId="77777777" w:rsidR="00461533" w:rsidRDefault="00461533" w:rsidP="00561BFE">
            <w:pPr>
              <w:spacing w:line="276" w:lineRule="auto"/>
              <w:rPr>
                <w:rFonts w:cs="Arial"/>
                <w:b/>
              </w:rPr>
            </w:pPr>
          </w:p>
          <w:p w14:paraId="3C8DEEF4" w14:textId="77777777" w:rsidR="0030735F" w:rsidRDefault="0030735F" w:rsidP="00561BFE">
            <w:pPr>
              <w:spacing w:line="276" w:lineRule="auto"/>
              <w:rPr>
                <w:rFonts w:cs="Arial"/>
                <w:b/>
              </w:rPr>
            </w:pPr>
            <w:r>
              <w:rPr>
                <w:rFonts w:cs="Arial"/>
                <w:b/>
              </w:rPr>
              <w:t>Supported self-management</w:t>
            </w:r>
          </w:p>
          <w:p w14:paraId="2C14E2E1" w14:textId="77777777" w:rsidR="00461533" w:rsidRPr="00B12953" w:rsidRDefault="0030735F" w:rsidP="00561BFE">
            <w:pPr>
              <w:pStyle w:val="ListParagraph"/>
              <w:numPr>
                <w:ilvl w:val="0"/>
                <w:numId w:val="35"/>
              </w:numPr>
              <w:spacing w:line="276" w:lineRule="auto"/>
            </w:pPr>
            <w:r>
              <w:rPr>
                <w:rFonts w:eastAsia="HGSMinchoE"/>
                <w:szCs w:val="24"/>
              </w:rPr>
              <w:t>PCNs to use the Patient Activation Measure for additional cohorts to be confirmed.</w:t>
            </w:r>
          </w:p>
        </w:tc>
      </w:tr>
    </w:tbl>
    <w:p w14:paraId="0785D8F4" w14:textId="77777777" w:rsidR="00177844" w:rsidRPr="004674CF" w:rsidRDefault="004B2E1F" w:rsidP="00561BFE">
      <w:pPr>
        <w:spacing w:after="0" w:line="276" w:lineRule="auto"/>
        <w:rPr>
          <w:rFonts w:cstheme="minorHAnsi"/>
          <w:b/>
        </w:rPr>
      </w:pPr>
      <w:r w:rsidRPr="004F0BC4">
        <w:rPr>
          <w:rFonts w:cs="Arial"/>
          <w:szCs w:val="24"/>
        </w:rPr>
        <w:lastRenderedPageBreak/>
        <w:t xml:space="preserve"> </w:t>
      </w:r>
    </w:p>
    <w:p w14:paraId="34E0BC7E" w14:textId="1F98239D" w:rsidR="00793A10" w:rsidRDefault="00793A10" w:rsidP="00561BFE">
      <w:pPr>
        <w:spacing w:after="0" w:line="276" w:lineRule="auto"/>
        <w:rPr>
          <w:b/>
        </w:rPr>
      </w:pPr>
      <w:r>
        <w:rPr>
          <w:b/>
        </w:rPr>
        <w:t>Proposed s</w:t>
      </w:r>
      <w:r w:rsidRPr="00C81129">
        <w:rPr>
          <w:b/>
        </w:rPr>
        <w:t xml:space="preserve">ervice </w:t>
      </w:r>
      <w:r>
        <w:rPr>
          <w:b/>
        </w:rPr>
        <w:t>r</w:t>
      </w:r>
      <w:r w:rsidRPr="00C81129">
        <w:rPr>
          <w:b/>
        </w:rPr>
        <w:t>equirements for 2020/21</w:t>
      </w:r>
    </w:p>
    <w:p w14:paraId="2A9B03CC" w14:textId="77777777" w:rsidR="00561BFE" w:rsidRPr="00C81129" w:rsidRDefault="00561BFE" w:rsidP="00561BFE">
      <w:pPr>
        <w:spacing w:after="0" w:line="276" w:lineRule="auto"/>
        <w:rPr>
          <w:b/>
        </w:rPr>
      </w:pPr>
    </w:p>
    <w:p w14:paraId="2CABFBED" w14:textId="77777777" w:rsidR="00F33080" w:rsidRDefault="00F33080" w:rsidP="00561BFE">
      <w:pPr>
        <w:pStyle w:val="ListParagraph"/>
        <w:numPr>
          <w:ilvl w:val="1"/>
          <w:numId w:val="34"/>
        </w:numPr>
        <w:spacing w:line="276" w:lineRule="auto"/>
      </w:pPr>
      <w:r>
        <w:t>From April 2020, practices working as part of PCNs</w:t>
      </w:r>
      <w:r w:rsidR="00F460BB">
        <w:t xml:space="preserve"> </w:t>
      </w:r>
      <w:r>
        <w:t>will:</w:t>
      </w:r>
    </w:p>
    <w:p w14:paraId="5CEC77E1" w14:textId="77777777" w:rsidR="00F33080" w:rsidRPr="00F33080" w:rsidRDefault="00F33080" w:rsidP="00561BFE">
      <w:pPr>
        <w:pStyle w:val="ListParagraph"/>
        <w:spacing w:line="276" w:lineRule="auto"/>
        <w:ind w:left="360"/>
      </w:pPr>
    </w:p>
    <w:p w14:paraId="59663C30" w14:textId="0E04B7B6" w:rsidR="000C6C5B" w:rsidRPr="000C6C5B" w:rsidRDefault="000C6C5B" w:rsidP="00561BFE">
      <w:pPr>
        <w:pStyle w:val="ListParagraph"/>
        <w:numPr>
          <w:ilvl w:val="1"/>
          <w:numId w:val="35"/>
        </w:numPr>
        <w:spacing w:line="276" w:lineRule="auto"/>
        <w:ind w:left="851"/>
      </w:pPr>
      <w:r>
        <w:t>Identify a clinical lead who will be responsible across the PCN for the delivery of the service requirements in this section.</w:t>
      </w:r>
    </w:p>
    <w:p w14:paraId="597E9CE1" w14:textId="77777777" w:rsidR="000C6C5B" w:rsidRPr="000C6C5B" w:rsidRDefault="000C6C5B" w:rsidP="00145C54">
      <w:pPr>
        <w:pStyle w:val="ListParagraph"/>
        <w:spacing w:line="276" w:lineRule="auto"/>
        <w:ind w:left="851"/>
      </w:pPr>
    </w:p>
    <w:p w14:paraId="76BFE932" w14:textId="3A81CB17" w:rsidR="00793A10" w:rsidRPr="00C81129" w:rsidRDefault="000C6C5B" w:rsidP="00561BFE">
      <w:pPr>
        <w:pStyle w:val="ListParagraph"/>
        <w:numPr>
          <w:ilvl w:val="1"/>
          <w:numId w:val="35"/>
        </w:numPr>
        <w:spacing w:line="276" w:lineRule="auto"/>
        <w:ind w:left="851"/>
      </w:pPr>
      <w:r>
        <w:rPr>
          <w:rFonts w:cstheme="minorHAnsi"/>
        </w:rPr>
        <w:t>i</w:t>
      </w:r>
      <w:r w:rsidR="00793A10" w:rsidRPr="003B06BF">
        <w:rPr>
          <w:rFonts w:cstheme="minorHAnsi"/>
        </w:rPr>
        <w:t xml:space="preserve">ncrease </w:t>
      </w:r>
      <w:r w:rsidR="00F33080">
        <w:rPr>
          <w:rFonts w:cstheme="minorHAnsi"/>
        </w:rPr>
        <w:t xml:space="preserve">the </w:t>
      </w:r>
      <w:r w:rsidR="00793A10" w:rsidRPr="003B06BF">
        <w:rPr>
          <w:rFonts w:cstheme="minorHAnsi"/>
        </w:rPr>
        <w:t>number of personalised care and support conversations and plans for identified cohorts across a PCN, in line with the standard replicable model</w:t>
      </w:r>
      <w:r w:rsidR="00F33080">
        <w:rPr>
          <w:rFonts w:cstheme="minorHAnsi"/>
        </w:rPr>
        <w:t>,</w:t>
      </w:r>
      <w:r w:rsidR="00793A10" w:rsidRPr="003B06BF">
        <w:rPr>
          <w:rFonts w:cstheme="minorHAnsi"/>
        </w:rPr>
        <w:t xml:space="preserve"> so that </w:t>
      </w:r>
      <w:r w:rsidR="00793A10">
        <w:t xml:space="preserve">at least 5:1000 </w:t>
      </w:r>
      <w:r w:rsidR="003B06BF">
        <w:t xml:space="preserve">weighted </w:t>
      </w:r>
      <w:r w:rsidR="00793A10">
        <w:t>population receive a PCS</w:t>
      </w:r>
      <w:r w:rsidR="006933C4">
        <w:t>P</w:t>
      </w:r>
      <w:r w:rsidR="00793A10">
        <w:t xml:space="preserve">. </w:t>
      </w:r>
      <w:r w:rsidR="00793A10" w:rsidRPr="003B06BF">
        <w:rPr>
          <w:rFonts w:cstheme="minorHAnsi"/>
        </w:rPr>
        <w:t>In 2020/21 the required cohorts are:</w:t>
      </w:r>
    </w:p>
    <w:p w14:paraId="3B622A09" w14:textId="77777777" w:rsidR="00793A10" w:rsidRPr="00C81129" w:rsidRDefault="00793A10" w:rsidP="00561BFE">
      <w:pPr>
        <w:pStyle w:val="ListParagraph"/>
        <w:spacing w:line="276" w:lineRule="auto"/>
        <w:ind w:left="785"/>
      </w:pPr>
    </w:p>
    <w:p w14:paraId="3FF37350" w14:textId="77777777" w:rsidR="00793A10" w:rsidRPr="001B24CE" w:rsidRDefault="00793A10" w:rsidP="00561BFE">
      <w:pPr>
        <w:pStyle w:val="ListParagraph"/>
        <w:numPr>
          <w:ilvl w:val="1"/>
          <w:numId w:val="17"/>
        </w:numPr>
        <w:spacing w:line="276" w:lineRule="auto"/>
        <w:rPr>
          <w:rFonts w:eastAsia="HGSMinchoE"/>
          <w:szCs w:val="24"/>
        </w:rPr>
      </w:pPr>
      <w:r>
        <w:rPr>
          <w:rFonts w:eastAsia="HGSMinchoE"/>
          <w:szCs w:val="24"/>
        </w:rPr>
        <w:t>People in last 12 months of life</w:t>
      </w:r>
    </w:p>
    <w:p w14:paraId="799B87F2" w14:textId="77777777" w:rsidR="00793A10" w:rsidRDefault="00793A10" w:rsidP="00561BFE">
      <w:pPr>
        <w:pStyle w:val="ListParagraph"/>
        <w:numPr>
          <w:ilvl w:val="1"/>
          <w:numId w:val="17"/>
        </w:numPr>
        <w:spacing w:line="276" w:lineRule="auto"/>
        <w:rPr>
          <w:rFonts w:eastAsia="HGSMinchoE"/>
          <w:szCs w:val="24"/>
        </w:rPr>
      </w:pPr>
      <w:r>
        <w:rPr>
          <w:rFonts w:eastAsia="HGSMinchoE"/>
          <w:szCs w:val="24"/>
        </w:rPr>
        <w:t xml:space="preserve">Individuals eligible in the </w:t>
      </w:r>
      <w:r w:rsidRPr="004C119C">
        <w:rPr>
          <w:rFonts w:eastAsia="HGSMinchoE"/>
          <w:szCs w:val="24"/>
        </w:rPr>
        <w:t>Anticipatory Care and Enhanced Health in Care Homes</w:t>
      </w:r>
      <w:r w:rsidRPr="001B24CE">
        <w:rPr>
          <w:rFonts w:eastAsia="HGSMinchoE"/>
          <w:szCs w:val="24"/>
        </w:rPr>
        <w:t xml:space="preserve"> </w:t>
      </w:r>
      <w:r>
        <w:rPr>
          <w:rFonts w:eastAsia="HGSMinchoE"/>
          <w:szCs w:val="24"/>
        </w:rPr>
        <w:t>cohorts</w:t>
      </w:r>
    </w:p>
    <w:p w14:paraId="5EBB3E7B" w14:textId="77777777" w:rsidR="00793A10" w:rsidRPr="001C5E82" w:rsidRDefault="00793A10" w:rsidP="00561BFE">
      <w:pPr>
        <w:pStyle w:val="ListParagraph"/>
        <w:spacing w:line="276" w:lineRule="auto"/>
        <w:ind w:left="1440"/>
        <w:rPr>
          <w:rFonts w:eastAsia="HGSMinchoE"/>
          <w:szCs w:val="24"/>
        </w:rPr>
      </w:pPr>
    </w:p>
    <w:p w14:paraId="5058E05B" w14:textId="77777777" w:rsidR="00793A10" w:rsidRDefault="00793A10" w:rsidP="00561BFE">
      <w:pPr>
        <w:spacing w:after="0" w:line="276" w:lineRule="auto"/>
        <w:ind w:firstLine="851"/>
      </w:pPr>
      <w:r>
        <w:t>Further cohort options to consider include:</w:t>
      </w:r>
    </w:p>
    <w:p w14:paraId="7CA3DD92" w14:textId="77777777" w:rsidR="00F33080" w:rsidRDefault="00F33080" w:rsidP="00561BFE">
      <w:pPr>
        <w:spacing w:after="0" w:line="276" w:lineRule="auto"/>
        <w:ind w:firstLine="851"/>
      </w:pPr>
    </w:p>
    <w:p w14:paraId="35781410" w14:textId="77777777" w:rsidR="00793A10" w:rsidRDefault="00793A10" w:rsidP="00561BFE">
      <w:pPr>
        <w:pStyle w:val="ListParagraph"/>
        <w:numPr>
          <w:ilvl w:val="1"/>
          <w:numId w:val="17"/>
        </w:numPr>
        <w:spacing w:line="276" w:lineRule="auto"/>
        <w:rPr>
          <w:rFonts w:eastAsia="HGSMinchoE"/>
          <w:szCs w:val="24"/>
        </w:rPr>
      </w:pPr>
      <w:r>
        <w:rPr>
          <w:rFonts w:eastAsia="HGSMinchoE"/>
          <w:szCs w:val="24"/>
        </w:rPr>
        <w:t>People with multiple long-term conditions and/or at high risk of hospital admission</w:t>
      </w:r>
    </w:p>
    <w:p w14:paraId="5AA6848D" w14:textId="77777777" w:rsidR="00793A10" w:rsidRPr="001C5E82" w:rsidRDefault="00793A10" w:rsidP="00561BFE">
      <w:pPr>
        <w:pStyle w:val="ListParagraph"/>
        <w:numPr>
          <w:ilvl w:val="1"/>
          <w:numId w:val="17"/>
        </w:numPr>
        <w:spacing w:line="276" w:lineRule="auto"/>
        <w:rPr>
          <w:rFonts w:eastAsia="HGSMinchoE"/>
          <w:szCs w:val="24"/>
        </w:rPr>
      </w:pPr>
      <w:r>
        <w:rPr>
          <w:rFonts w:eastAsia="HGSMinchoE"/>
          <w:szCs w:val="24"/>
        </w:rPr>
        <w:t xml:space="preserve">People with a diagnosis of </w:t>
      </w:r>
      <w:r w:rsidRPr="001C5E82">
        <w:rPr>
          <w:rFonts w:eastAsia="HGSMinchoE"/>
          <w:szCs w:val="24"/>
        </w:rPr>
        <w:t>Cancer</w:t>
      </w:r>
    </w:p>
    <w:p w14:paraId="4137EDCA" w14:textId="77777777" w:rsidR="00793A10" w:rsidRDefault="00793A10" w:rsidP="00561BFE">
      <w:pPr>
        <w:spacing w:after="0" w:line="276" w:lineRule="auto"/>
        <w:ind w:left="360"/>
      </w:pPr>
    </w:p>
    <w:p w14:paraId="19AA2CAF" w14:textId="11B37E7D" w:rsidR="00793A10" w:rsidRPr="00AC0520" w:rsidRDefault="000C6C5B" w:rsidP="00561BFE">
      <w:pPr>
        <w:pStyle w:val="ListParagraph"/>
        <w:numPr>
          <w:ilvl w:val="0"/>
          <w:numId w:val="14"/>
        </w:numPr>
        <w:spacing w:line="276" w:lineRule="auto"/>
        <w:ind w:left="786"/>
        <w:rPr>
          <w:rFonts w:cstheme="minorHAnsi"/>
        </w:rPr>
      </w:pPr>
      <w:r>
        <w:rPr>
          <w:rFonts w:cstheme="minorHAnsi"/>
        </w:rPr>
        <w:t>p</w:t>
      </w:r>
      <w:r w:rsidR="00793A10">
        <w:rPr>
          <w:rFonts w:cstheme="minorHAnsi"/>
        </w:rPr>
        <w:t>romote personal health budgets across a PCN to enable delivery of legal rights to a PHB and any other cohorts identified as eligible within the CCG’s local offer.</w:t>
      </w:r>
    </w:p>
    <w:p w14:paraId="3081084C" w14:textId="77777777" w:rsidR="00793A10" w:rsidRPr="002B0CF6" w:rsidRDefault="00793A10" w:rsidP="00561BFE">
      <w:pPr>
        <w:pStyle w:val="ListParagraph"/>
        <w:spacing w:line="276" w:lineRule="auto"/>
        <w:ind w:left="856"/>
        <w:rPr>
          <w:rFonts w:cstheme="minorHAnsi"/>
        </w:rPr>
      </w:pPr>
    </w:p>
    <w:p w14:paraId="61281377" w14:textId="0BCD9B0C" w:rsidR="00793A10" w:rsidRPr="00577E49" w:rsidRDefault="000C6C5B" w:rsidP="00561BFE">
      <w:pPr>
        <w:pStyle w:val="ListParagraph"/>
        <w:numPr>
          <w:ilvl w:val="0"/>
          <w:numId w:val="14"/>
        </w:numPr>
        <w:spacing w:line="276" w:lineRule="auto"/>
        <w:ind w:left="786"/>
        <w:rPr>
          <w:rFonts w:cstheme="minorHAnsi"/>
        </w:rPr>
      </w:pPr>
      <w:r>
        <w:rPr>
          <w:rFonts w:cstheme="minorHAnsi"/>
        </w:rPr>
        <w:t>d</w:t>
      </w:r>
      <w:r w:rsidR="00793A10">
        <w:rPr>
          <w:rFonts w:cstheme="minorHAnsi"/>
        </w:rPr>
        <w:t>eliver shared decision making for different clinical situations using available decision support tools. The priority cohorts for 2020/21 are patients with musculoskeletal conditions such as b</w:t>
      </w:r>
      <w:r w:rsidR="00793A10" w:rsidRPr="00577E49">
        <w:rPr>
          <w:rFonts w:eastAsia="HGSMinchoE"/>
          <w:szCs w:val="24"/>
        </w:rPr>
        <w:t>ack pain, hip pain, knee pain and shoulder pain</w:t>
      </w:r>
      <w:r w:rsidR="008B2502">
        <w:rPr>
          <w:rFonts w:eastAsia="HGSMinchoE"/>
          <w:szCs w:val="24"/>
        </w:rPr>
        <w:t>. These conversations will be led by trained physiotherapists</w:t>
      </w:r>
    </w:p>
    <w:p w14:paraId="597F9D7C" w14:textId="77777777" w:rsidR="00793A10" w:rsidRPr="002B0CF6" w:rsidRDefault="00793A10" w:rsidP="00561BFE">
      <w:pPr>
        <w:pStyle w:val="ListParagraph"/>
        <w:spacing w:line="276" w:lineRule="auto"/>
        <w:ind w:left="856"/>
        <w:rPr>
          <w:rFonts w:cstheme="minorHAnsi"/>
        </w:rPr>
      </w:pPr>
    </w:p>
    <w:p w14:paraId="0FC99569" w14:textId="49AA6A9D" w:rsidR="00793A10" w:rsidRDefault="000C6C5B" w:rsidP="00561BFE">
      <w:pPr>
        <w:pStyle w:val="ListParagraph"/>
        <w:numPr>
          <w:ilvl w:val="0"/>
          <w:numId w:val="14"/>
        </w:numPr>
        <w:spacing w:line="276" w:lineRule="auto"/>
        <w:ind w:left="786"/>
        <w:rPr>
          <w:rFonts w:cstheme="minorHAnsi"/>
        </w:rPr>
      </w:pPr>
      <w:r>
        <w:rPr>
          <w:rFonts w:cstheme="minorHAnsi"/>
        </w:rPr>
        <w:lastRenderedPageBreak/>
        <w:t>f</w:t>
      </w:r>
      <w:r w:rsidR="00793A10">
        <w:rPr>
          <w:rFonts w:cstheme="minorHAnsi"/>
        </w:rPr>
        <w:t xml:space="preserve">acilitate relevant training, shared learning and quality improvement for staff in PCNs. For 2020/21 PCNs should prioritise the following roles for training: </w:t>
      </w:r>
    </w:p>
    <w:p w14:paraId="43759E2F" w14:textId="77777777" w:rsidR="00793A10" w:rsidRPr="00C81129" w:rsidRDefault="00793A10" w:rsidP="00561BFE">
      <w:pPr>
        <w:pStyle w:val="ListParagraph"/>
        <w:spacing w:line="276" w:lineRule="auto"/>
        <w:ind w:left="1080"/>
        <w:rPr>
          <w:rFonts w:cstheme="minorHAnsi"/>
        </w:rPr>
      </w:pPr>
    </w:p>
    <w:p w14:paraId="12423E07" w14:textId="77777777" w:rsidR="00793A10" w:rsidRPr="00F03E82" w:rsidRDefault="00793A10" w:rsidP="00561BFE">
      <w:pPr>
        <w:pStyle w:val="ListParagraph"/>
        <w:numPr>
          <w:ilvl w:val="1"/>
          <w:numId w:val="18"/>
        </w:numPr>
        <w:spacing w:line="276" w:lineRule="auto"/>
        <w:ind w:left="1440"/>
        <w:rPr>
          <w:rFonts w:eastAsia="HGSMinchoE"/>
          <w:szCs w:val="24"/>
        </w:rPr>
      </w:pPr>
      <w:r>
        <w:rPr>
          <w:rFonts w:eastAsia="HGSMinchoE"/>
          <w:szCs w:val="24"/>
        </w:rPr>
        <w:t xml:space="preserve">Team members undertaking </w:t>
      </w:r>
      <w:r w:rsidR="003B06BF">
        <w:rPr>
          <w:rFonts w:eastAsia="HGSMinchoE"/>
          <w:szCs w:val="24"/>
        </w:rPr>
        <w:t xml:space="preserve">personalised care and support planning </w:t>
      </w:r>
      <w:r>
        <w:rPr>
          <w:rFonts w:eastAsia="HGSMinchoE"/>
          <w:szCs w:val="24"/>
        </w:rPr>
        <w:t>conversations</w:t>
      </w:r>
    </w:p>
    <w:p w14:paraId="12525AED" w14:textId="77777777" w:rsidR="00793A10" w:rsidRPr="00F03E82" w:rsidRDefault="00793A10" w:rsidP="00561BFE">
      <w:pPr>
        <w:pStyle w:val="ListParagraph"/>
        <w:numPr>
          <w:ilvl w:val="1"/>
          <w:numId w:val="18"/>
        </w:numPr>
        <w:spacing w:line="276" w:lineRule="auto"/>
        <w:ind w:left="1440"/>
        <w:rPr>
          <w:rFonts w:eastAsia="HGSMinchoE"/>
          <w:szCs w:val="24"/>
        </w:rPr>
      </w:pPr>
      <w:r>
        <w:rPr>
          <w:rFonts w:eastAsia="HGSMinchoE"/>
          <w:szCs w:val="24"/>
        </w:rPr>
        <w:t>C</w:t>
      </w:r>
      <w:r w:rsidRPr="00F03E82">
        <w:rPr>
          <w:rFonts w:eastAsia="HGSMinchoE"/>
          <w:szCs w:val="24"/>
        </w:rPr>
        <w:t>linical pharmacists</w:t>
      </w:r>
      <w:r>
        <w:rPr>
          <w:rFonts w:eastAsia="HGSMinchoE"/>
          <w:szCs w:val="24"/>
        </w:rPr>
        <w:t xml:space="preserve"> hosting Structured Medicine Reviews</w:t>
      </w:r>
      <w:r w:rsidRPr="00F03E82">
        <w:rPr>
          <w:rFonts w:eastAsia="HGSMinchoE"/>
          <w:szCs w:val="24"/>
        </w:rPr>
        <w:t xml:space="preserve"> </w:t>
      </w:r>
    </w:p>
    <w:p w14:paraId="7C76FB67" w14:textId="77777777" w:rsidR="00793A10" w:rsidRDefault="00793A10" w:rsidP="00561BFE">
      <w:pPr>
        <w:pStyle w:val="ListParagraph"/>
        <w:numPr>
          <w:ilvl w:val="1"/>
          <w:numId w:val="18"/>
        </w:numPr>
        <w:spacing w:line="276" w:lineRule="auto"/>
        <w:ind w:left="1440"/>
        <w:rPr>
          <w:rFonts w:eastAsia="HGSMinchoE"/>
          <w:szCs w:val="24"/>
        </w:rPr>
      </w:pPr>
      <w:r w:rsidRPr="00F03E82">
        <w:rPr>
          <w:rFonts w:eastAsia="HGSMinchoE"/>
          <w:szCs w:val="24"/>
        </w:rPr>
        <w:t>PCN MSK practitioners</w:t>
      </w:r>
    </w:p>
    <w:p w14:paraId="7B979F4B" w14:textId="77777777" w:rsidR="00793A10" w:rsidRPr="001C5E82" w:rsidRDefault="00793A10" w:rsidP="00561BFE">
      <w:pPr>
        <w:pStyle w:val="ListParagraph"/>
        <w:numPr>
          <w:ilvl w:val="1"/>
          <w:numId w:val="18"/>
        </w:numPr>
        <w:spacing w:line="276" w:lineRule="auto"/>
        <w:ind w:left="1440"/>
        <w:rPr>
          <w:rFonts w:eastAsia="HGSMinchoE"/>
          <w:szCs w:val="24"/>
        </w:rPr>
      </w:pPr>
      <w:r w:rsidRPr="001C5E82">
        <w:rPr>
          <w:rFonts w:eastAsia="HGSMinchoE"/>
          <w:szCs w:val="24"/>
        </w:rPr>
        <w:t>Social prescribing link workers</w:t>
      </w:r>
    </w:p>
    <w:p w14:paraId="02C6EA46" w14:textId="77777777" w:rsidR="00793A10" w:rsidRPr="002B0CF6" w:rsidRDefault="00793A10" w:rsidP="00561BFE">
      <w:pPr>
        <w:pStyle w:val="ListParagraph"/>
        <w:spacing w:line="276" w:lineRule="auto"/>
        <w:ind w:left="1080"/>
        <w:rPr>
          <w:rFonts w:cstheme="minorHAnsi"/>
        </w:rPr>
      </w:pPr>
    </w:p>
    <w:p w14:paraId="241633CE" w14:textId="1C49CAD0" w:rsidR="00793A10" w:rsidRDefault="000C6C5B" w:rsidP="00561BFE">
      <w:pPr>
        <w:pStyle w:val="ListParagraph"/>
        <w:numPr>
          <w:ilvl w:val="0"/>
          <w:numId w:val="14"/>
        </w:numPr>
        <w:spacing w:line="276" w:lineRule="auto"/>
        <w:ind w:left="785"/>
      </w:pPr>
      <w:r>
        <w:rPr>
          <w:rFonts w:cstheme="minorHAnsi"/>
        </w:rPr>
        <w:t>s</w:t>
      </w:r>
      <w:r w:rsidR="00793A10" w:rsidRPr="001C5E82">
        <w:rPr>
          <w:rFonts w:cstheme="minorHAnsi"/>
        </w:rPr>
        <w:t>upport the delivery of effective social prescribing</w:t>
      </w:r>
      <w:r w:rsidR="00793A10">
        <w:t xml:space="preserve"> so that at least </w:t>
      </w:r>
      <w:r w:rsidR="00793A10" w:rsidRPr="008210BD">
        <w:t xml:space="preserve">4:1000 </w:t>
      </w:r>
      <w:r w:rsidR="003B06BF">
        <w:t xml:space="preserve">weighted </w:t>
      </w:r>
      <w:r w:rsidR="00793A10" w:rsidRPr="008210BD">
        <w:t>population</w:t>
      </w:r>
      <w:r w:rsidR="00793A10">
        <w:t xml:space="preserve"> receive a referral.</w:t>
      </w:r>
    </w:p>
    <w:p w14:paraId="02CE3E68" w14:textId="77777777" w:rsidR="00793A10" w:rsidRDefault="00793A10" w:rsidP="00561BFE">
      <w:pPr>
        <w:pStyle w:val="ListParagraph"/>
        <w:spacing w:line="276" w:lineRule="auto"/>
        <w:ind w:left="1145"/>
      </w:pPr>
    </w:p>
    <w:p w14:paraId="3D3CDAB9" w14:textId="6800D690" w:rsidR="00793A10" w:rsidRPr="00C81129" w:rsidRDefault="000C6C5B" w:rsidP="00561BFE">
      <w:pPr>
        <w:pStyle w:val="ListParagraph"/>
        <w:numPr>
          <w:ilvl w:val="0"/>
          <w:numId w:val="14"/>
        </w:numPr>
        <w:spacing w:line="276" w:lineRule="auto"/>
        <w:ind w:left="785"/>
      </w:pPr>
      <w:r>
        <w:rPr>
          <w:rFonts w:cstheme="minorHAnsi"/>
        </w:rPr>
        <w:t>u</w:t>
      </w:r>
      <w:r w:rsidR="00793A10" w:rsidRPr="001C5E82">
        <w:rPr>
          <w:rFonts w:cstheme="minorHAnsi"/>
        </w:rPr>
        <w:t>se Patient Activation Measure to enable more personalised support for people with different levels of knowledge, skills and confidence. For 2020/21 the required cohorts are:</w:t>
      </w:r>
    </w:p>
    <w:p w14:paraId="629FB4DD" w14:textId="77777777" w:rsidR="00793A10" w:rsidRDefault="00793A10" w:rsidP="00561BFE">
      <w:pPr>
        <w:pStyle w:val="ListParagraph"/>
        <w:spacing w:line="276" w:lineRule="auto"/>
        <w:ind w:left="1080"/>
      </w:pPr>
    </w:p>
    <w:p w14:paraId="23EA61F8" w14:textId="77777777" w:rsidR="00793A10" w:rsidRDefault="00793A10" w:rsidP="00561BFE">
      <w:pPr>
        <w:pStyle w:val="ListParagraph"/>
        <w:numPr>
          <w:ilvl w:val="1"/>
          <w:numId w:val="16"/>
        </w:numPr>
        <w:spacing w:line="276" w:lineRule="auto"/>
        <w:ind w:left="1440"/>
        <w:rPr>
          <w:rFonts w:eastAsia="HGSMinchoE"/>
          <w:szCs w:val="24"/>
        </w:rPr>
      </w:pPr>
      <w:r w:rsidRPr="001B24CE">
        <w:rPr>
          <w:rFonts w:eastAsia="HGSMinchoE"/>
          <w:szCs w:val="24"/>
        </w:rPr>
        <w:t xml:space="preserve">People living with </w:t>
      </w:r>
      <w:r>
        <w:rPr>
          <w:rFonts w:eastAsia="HGSMinchoE"/>
          <w:szCs w:val="24"/>
        </w:rPr>
        <w:t xml:space="preserve">newly diagnosed </w:t>
      </w:r>
      <w:r w:rsidRPr="001B24CE">
        <w:rPr>
          <w:rFonts w:eastAsia="HGSMinchoE"/>
          <w:szCs w:val="24"/>
        </w:rPr>
        <w:t>Type 2 diabetes</w:t>
      </w:r>
    </w:p>
    <w:p w14:paraId="71BD3F35" w14:textId="77777777" w:rsidR="00793A10" w:rsidRPr="001C5E82" w:rsidRDefault="00793A10" w:rsidP="00561BFE">
      <w:pPr>
        <w:pStyle w:val="ListParagraph"/>
        <w:numPr>
          <w:ilvl w:val="1"/>
          <w:numId w:val="16"/>
        </w:numPr>
        <w:spacing w:line="276" w:lineRule="auto"/>
        <w:ind w:left="1440"/>
        <w:rPr>
          <w:rFonts w:eastAsia="HGSMinchoE"/>
          <w:szCs w:val="24"/>
        </w:rPr>
      </w:pPr>
      <w:r w:rsidRPr="001C5E82">
        <w:rPr>
          <w:rFonts w:eastAsia="HGSMinchoE"/>
          <w:szCs w:val="24"/>
        </w:rPr>
        <w:t>People referred to social prescribing link workers</w:t>
      </w:r>
    </w:p>
    <w:p w14:paraId="042EC579" w14:textId="77777777" w:rsidR="00793A10" w:rsidRDefault="00793A10" w:rsidP="00561BFE">
      <w:pPr>
        <w:spacing w:after="0" w:line="276" w:lineRule="auto"/>
        <w:rPr>
          <w:b/>
        </w:rPr>
      </w:pPr>
    </w:p>
    <w:p w14:paraId="115A781E" w14:textId="0D6DC121" w:rsidR="004B2E1F" w:rsidRDefault="002D6C93" w:rsidP="00561BFE">
      <w:pPr>
        <w:spacing w:after="0" w:line="276" w:lineRule="auto"/>
        <w:rPr>
          <w:b/>
        </w:rPr>
      </w:pPr>
      <w:r>
        <w:rPr>
          <w:b/>
        </w:rPr>
        <w:t>Proposed m</w:t>
      </w:r>
      <w:r w:rsidR="00C1247B" w:rsidRPr="00C1247B">
        <w:rPr>
          <w:b/>
        </w:rPr>
        <w:t>etrics</w:t>
      </w:r>
    </w:p>
    <w:p w14:paraId="4696CFA7" w14:textId="77777777" w:rsidR="00561BFE" w:rsidRPr="00C1247B" w:rsidRDefault="00561BFE" w:rsidP="00561BFE">
      <w:pPr>
        <w:spacing w:after="0" w:line="276" w:lineRule="auto"/>
        <w:rPr>
          <w:b/>
        </w:rPr>
      </w:pPr>
    </w:p>
    <w:p w14:paraId="56BEE379" w14:textId="22A90A25" w:rsidR="004B2E1F" w:rsidRDefault="004B2E1F" w:rsidP="00561BFE">
      <w:pPr>
        <w:pStyle w:val="ListParagraph"/>
        <w:numPr>
          <w:ilvl w:val="1"/>
          <w:numId w:val="34"/>
        </w:numPr>
        <w:spacing w:line="276" w:lineRule="auto"/>
      </w:pPr>
      <w:r>
        <w:t>Potential metrics to monitor the success of the service include, but are not limited to:</w:t>
      </w:r>
    </w:p>
    <w:p w14:paraId="49F6E410" w14:textId="77777777" w:rsidR="00561BFE" w:rsidRDefault="00561BFE" w:rsidP="00561BFE">
      <w:pPr>
        <w:pStyle w:val="ListParagraph"/>
        <w:spacing w:line="276" w:lineRule="auto"/>
        <w:ind w:left="567"/>
      </w:pPr>
    </w:p>
    <w:tbl>
      <w:tblPr>
        <w:tblStyle w:val="TableGrid"/>
        <w:tblW w:w="0" w:type="auto"/>
        <w:tblInd w:w="720" w:type="dxa"/>
        <w:tblLook w:val="04A0" w:firstRow="1" w:lastRow="0" w:firstColumn="1" w:lastColumn="0" w:noHBand="0" w:noVBand="1"/>
      </w:tblPr>
      <w:tblGrid>
        <w:gridCol w:w="551"/>
        <w:gridCol w:w="7745"/>
      </w:tblGrid>
      <w:tr w:rsidR="005828F3" w14:paraId="33FF2367" w14:textId="77777777" w:rsidTr="00DE52AD">
        <w:tc>
          <w:tcPr>
            <w:tcW w:w="551" w:type="dxa"/>
            <w:shd w:val="clear" w:color="auto" w:fill="4472C4" w:themeFill="accent1"/>
          </w:tcPr>
          <w:p w14:paraId="74298B38" w14:textId="77777777" w:rsidR="005828F3" w:rsidRDefault="005828F3" w:rsidP="00561BFE">
            <w:pPr>
              <w:pStyle w:val="ListParagraph"/>
              <w:spacing w:line="276" w:lineRule="auto"/>
              <w:ind w:left="0"/>
            </w:pPr>
          </w:p>
        </w:tc>
        <w:tc>
          <w:tcPr>
            <w:tcW w:w="7745" w:type="dxa"/>
            <w:shd w:val="clear" w:color="auto" w:fill="4472C4" w:themeFill="accent1"/>
          </w:tcPr>
          <w:p w14:paraId="78CEE39E" w14:textId="77777777" w:rsidR="005828F3" w:rsidRPr="008478F3" w:rsidRDefault="005828F3" w:rsidP="00561BFE">
            <w:pPr>
              <w:spacing w:line="276" w:lineRule="auto"/>
              <w:rPr>
                <w:b/>
              </w:rPr>
            </w:pPr>
            <w:r w:rsidRPr="008478F3">
              <w:rPr>
                <w:b/>
              </w:rPr>
              <w:t>Metric description</w:t>
            </w:r>
          </w:p>
        </w:tc>
      </w:tr>
      <w:tr w:rsidR="005828F3" w14:paraId="4B30A941" w14:textId="77777777" w:rsidTr="00DE52AD">
        <w:tc>
          <w:tcPr>
            <w:tcW w:w="551" w:type="dxa"/>
          </w:tcPr>
          <w:p w14:paraId="5DFDFBC3" w14:textId="77777777" w:rsidR="005828F3" w:rsidRDefault="005828F3" w:rsidP="00561BFE">
            <w:pPr>
              <w:pStyle w:val="ListParagraph"/>
              <w:spacing w:line="276" w:lineRule="auto"/>
              <w:ind w:left="0"/>
            </w:pPr>
            <w:r>
              <w:t>1.</w:t>
            </w:r>
          </w:p>
        </w:tc>
        <w:tc>
          <w:tcPr>
            <w:tcW w:w="7745" w:type="dxa"/>
            <w:vAlign w:val="center"/>
          </w:tcPr>
          <w:p w14:paraId="73B03D68" w14:textId="77777777" w:rsidR="005828F3" w:rsidRDefault="005828F3" w:rsidP="00561BFE">
            <w:pPr>
              <w:pStyle w:val="ListParagraph"/>
              <w:spacing w:line="276" w:lineRule="auto"/>
              <w:ind w:left="0"/>
            </w:pPr>
            <w:r>
              <w:t xml:space="preserve">The number of personalised care and support plans delivered (including measure of delivery rate </w:t>
            </w:r>
            <w:r w:rsidR="006C4A5E">
              <w:t>for</w:t>
            </w:r>
            <w:r>
              <w:t xml:space="preserve"> required cohorts)</w:t>
            </w:r>
          </w:p>
        </w:tc>
      </w:tr>
      <w:tr w:rsidR="005828F3" w14:paraId="4EDD659C" w14:textId="77777777" w:rsidTr="00DE52AD">
        <w:tc>
          <w:tcPr>
            <w:tcW w:w="551" w:type="dxa"/>
          </w:tcPr>
          <w:p w14:paraId="24DA00CD" w14:textId="77777777" w:rsidR="005828F3" w:rsidRDefault="005828F3" w:rsidP="00561BFE">
            <w:pPr>
              <w:pStyle w:val="ListParagraph"/>
              <w:spacing w:line="276" w:lineRule="auto"/>
              <w:ind w:left="0"/>
            </w:pPr>
            <w:r>
              <w:t>2.</w:t>
            </w:r>
          </w:p>
        </w:tc>
        <w:tc>
          <w:tcPr>
            <w:tcW w:w="7745" w:type="dxa"/>
            <w:vAlign w:val="center"/>
          </w:tcPr>
          <w:p w14:paraId="5A5D784F" w14:textId="77777777" w:rsidR="005828F3" w:rsidRDefault="005828F3" w:rsidP="00561BFE">
            <w:pPr>
              <w:spacing w:line="276" w:lineRule="auto"/>
            </w:pPr>
            <w:r>
              <w:t xml:space="preserve">The quality of personalised care and support plans </w:t>
            </w:r>
          </w:p>
        </w:tc>
      </w:tr>
      <w:tr w:rsidR="005828F3" w14:paraId="029304F9" w14:textId="77777777" w:rsidTr="00DE52AD">
        <w:tc>
          <w:tcPr>
            <w:tcW w:w="551" w:type="dxa"/>
          </w:tcPr>
          <w:p w14:paraId="1E8FF5A1" w14:textId="77777777" w:rsidR="005828F3" w:rsidRDefault="005828F3" w:rsidP="00561BFE">
            <w:pPr>
              <w:pStyle w:val="ListParagraph"/>
              <w:spacing w:line="276" w:lineRule="auto"/>
              <w:ind w:left="0"/>
            </w:pPr>
            <w:r>
              <w:t>3.</w:t>
            </w:r>
          </w:p>
        </w:tc>
        <w:tc>
          <w:tcPr>
            <w:tcW w:w="7745" w:type="dxa"/>
            <w:vAlign w:val="center"/>
          </w:tcPr>
          <w:p w14:paraId="13CEE0CE" w14:textId="77777777" w:rsidR="005828F3" w:rsidRPr="008478F3" w:rsidRDefault="005828F3" w:rsidP="00561BFE">
            <w:pPr>
              <w:pStyle w:val="ListParagraph"/>
              <w:spacing w:line="276" w:lineRule="auto"/>
              <w:ind w:left="0"/>
              <w:rPr>
                <w:szCs w:val="24"/>
              </w:rPr>
            </w:pPr>
            <w:r>
              <w:rPr>
                <w:szCs w:val="24"/>
              </w:rPr>
              <w:t xml:space="preserve">The number of shared </w:t>
            </w:r>
            <w:proofErr w:type="gramStart"/>
            <w:r>
              <w:rPr>
                <w:szCs w:val="24"/>
              </w:rPr>
              <w:t>decision making</w:t>
            </w:r>
            <w:proofErr w:type="gramEnd"/>
            <w:r>
              <w:rPr>
                <w:szCs w:val="24"/>
              </w:rPr>
              <w:t xml:space="preserve"> conversations completed (including measure of delivery rate for required cohorts)</w:t>
            </w:r>
          </w:p>
        </w:tc>
      </w:tr>
      <w:tr w:rsidR="005828F3" w14:paraId="5D8490A7" w14:textId="77777777" w:rsidTr="00DE52AD">
        <w:tc>
          <w:tcPr>
            <w:tcW w:w="551" w:type="dxa"/>
          </w:tcPr>
          <w:p w14:paraId="5D327888" w14:textId="77777777" w:rsidR="005828F3" w:rsidRDefault="005828F3" w:rsidP="00561BFE">
            <w:pPr>
              <w:pStyle w:val="ListParagraph"/>
              <w:spacing w:line="276" w:lineRule="auto"/>
              <w:ind w:left="0"/>
            </w:pPr>
            <w:r>
              <w:t>4.</w:t>
            </w:r>
          </w:p>
        </w:tc>
        <w:tc>
          <w:tcPr>
            <w:tcW w:w="7745" w:type="dxa"/>
            <w:vAlign w:val="center"/>
          </w:tcPr>
          <w:p w14:paraId="7446DC76" w14:textId="77777777" w:rsidR="005828F3" w:rsidRPr="008478F3" w:rsidRDefault="005828F3" w:rsidP="00561BFE">
            <w:pPr>
              <w:pStyle w:val="ListParagraph"/>
              <w:spacing w:line="276" w:lineRule="auto"/>
              <w:ind w:left="0"/>
              <w:rPr>
                <w:szCs w:val="24"/>
              </w:rPr>
            </w:pPr>
            <w:r>
              <w:rPr>
                <w:szCs w:val="24"/>
              </w:rPr>
              <w:t xml:space="preserve">The quality of shared </w:t>
            </w:r>
            <w:proofErr w:type="gramStart"/>
            <w:r>
              <w:rPr>
                <w:szCs w:val="24"/>
              </w:rPr>
              <w:t>decision making</w:t>
            </w:r>
            <w:proofErr w:type="gramEnd"/>
            <w:r>
              <w:rPr>
                <w:szCs w:val="24"/>
              </w:rPr>
              <w:t xml:space="preserve"> conversations</w:t>
            </w:r>
          </w:p>
        </w:tc>
      </w:tr>
      <w:tr w:rsidR="005828F3" w14:paraId="2050C6C5" w14:textId="77777777" w:rsidTr="00DE52AD">
        <w:tc>
          <w:tcPr>
            <w:tcW w:w="551" w:type="dxa"/>
          </w:tcPr>
          <w:p w14:paraId="41AE4530" w14:textId="77777777" w:rsidR="005828F3" w:rsidRDefault="005828F3" w:rsidP="00561BFE">
            <w:pPr>
              <w:pStyle w:val="ListParagraph"/>
              <w:spacing w:line="276" w:lineRule="auto"/>
              <w:ind w:left="0"/>
            </w:pPr>
            <w:r>
              <w:t>5.</w:t>
            </w:r>
          </w:p>
        </w:tc>
        <w:tc>
          <w:tcPr>
            <w:tcW w:w="7745" w:type="dxa"/>
            <w:vAlign w:val="center"/>
          </w:tcPr>
          <w:p w14:paraId="55A11934" w14:textId="77777777" w:rsidR="005828F3" w:rsidRPr="008478F3" w:rsidRDefault="005828F3" w:rsidP="00561BFE">
            <w:pPr>
              <w:pStyle w:val="ListParagraph"/>
              <w:spacing w:line="276" w:lineRule="auto"/>
              <w:ind w:left="0"/>
              <w:rPr>
                <w:szCs w:val="24"/>
              </w:rPr>
            </w:pPr>
            <w:r>
              <w:rPr>
                <w:szCs w:val="24"/>
              </w:rPr>
              <w:t xml:space="preserve">The number of social prescribing referrals </w:t>
            </w:r>
            <w:r w:rsidR="006C4A5E">
              <w:rPr>
                <w:szCs w:val="24"/>
              </w:rPr>
              <w:t>made</w:t>
            </w:r>
          </w:p>
        </w:tc>
      </w:tr>
      <w:tr w:rsidR="005828F3" w14:paraId="1FDA7789" w14:textId="77777777" w:rsidTr="00DE52AD">
        <w:tc>
          <w:tcPr>
            <w:tcW w:w="551" w:type="dxa"/>
          </w:tcPr>
          <w:p w14:paraId="55E6361A" w14:textId="77777777" w:rsidR="005828F3" w:rsidRDefault="005828F3" w:rsidP="00561BFE">
            <w:pPr>
              <w:pStyle w:val="ListParagraph"/>
              <w:spacing w:line="276" w:lineRule="auto"/>
              <w:ind w:left="0"/>
            </w:pPr>
            <w:r>
              <w:t>6.</w:t>
            </w:r>
          </w:p>
        </w:tc>
        <w:tc>
          <w:tcPr>
            <w:tcW w:w="7745" w:type="dxa"/>
            <w:vAlign w:val="center"/>
          </w:tcPr>
          <w:p w14:paraId="7BB668AC" w14:textId="77777777" w:rsidR="005828F3" w:rsidRPr="008478F3" w:rsidRDefault="006C4A5E" w:rsidP="00561BFE">
            <w:pPr>
              <w:pStyle w:val="ListParagraph"/>
              <w:tabs>
                <w:tab w:val="left" w:pos="1937"/>
              </w:tabs>
              <w:spacing w:line="276" w:lineRule="auto"/>
              <w:ind w:left="0"/>
              <w:rPr>
                <w:szCs w:val="24"/>
              </w:rPr>
            </w:pPr>
            <w:r>
              <w:rPr>
                <w:szCs w:val="24"/>
              </w:rPr>
              <w:t>The number of patient activation measurement assessments undertaken (including measure of delivery rate for required cohorts)</w:t>
            </w:r>
          </w:p>
        </w:tc>
      </w:tr>
      <w:tr w:rsidR="005828F3" w14:paraId="716B8A29" w14:textId="77777777" w:rsidTr="00DE52AD">
        <w:tc>
          <w:tcPr>
            <w:tcW w:w="551" w:type="dxa"/>
          </w:tcPr>
          <w:p w14:paraId="1B288FB9" w14:textId="77777777" w:rsidR="005828F3" w:rsidRDefault="005828F3" w:rsidP="00561BFE">
            <w:pPr>
              <w:pStyle w:val="ListParagraph"/>
              <w:spacing w:line="276" w:lineRule="auto"/>
              <w:ind w:left="0"/>
            </w:pPr>
            <w:r>
              <w:t>7.</w:t>
            </w:r>
          </w:p>
        </w:tc>
        <w:tc>
          <w:tcPr>
            <w:tcW w:w="7745" w:type="dxa"/>
            <w:vAlign w:val="center"/>
          </w:tcPr>
          <w:p w14:paraId="7E1E7496" w14:textId="77777777" w:rsidR="005828F3" w:rsidRDefault="006C4A5E" w:rsidP="00561BFE">
            <w:pPr>
              <w:pStyle w:val="ListParagraph"/>
              <w:tabs>
                <w:tab w:val="left" w:pos="1937"/>
              </w:tabs>
              <w:spacing w:line="276" w:lineRule="auto"/>
              <w:ind w:left="0"/>
              <w:rPr>
                <w:szCs w:val="24"/>
              </w:rPr>
            </w:pPr>
            <w:r>
              <w:rPr>
                <w:szCs w:val="24"/>
              </w:rPr>
              <w:t>The number of Personal Health Budgets</w:t>
            </w:r>
          </w:p>
        </w:tc>
      </w:tr>
    </w:tbl>
    <w:p w14:paraId="45A047D9" w14:textId="69DD91A8" w:rsidR="002371B7" w:rsidRDefault="002371B7" w:rsidP="005828F3"/>
    <w:p w14:paraId="7429D97B" w14:textId="77777777" w:rsidR="002371B7" w:rsidRDefault="002371B7">
      <w:r>
        <w:br w:type="page"/>
      </w:r>
    </w:p>
    <w:p w14:paraId="30F11A89" w14:textId="77777777" w:rsidR="004B2E1F" w:rsidRDefault="004B2E1F" w:rsidP="000A0F1E">
      <w:pPr>
        <w:pStyle w:val="Heading1"/>
        <w:numPr>
          <w:ilvl w:val="0"/>
          <w:numId w:val="1"/>
        </w:numPr>
      </w:pPr>
      <w:bookmarkStart w:id="20" w:name="_Toc27473070"/>
      <w:r>
        <w:lastRenderedPageBreak/>
        <w:t>Supporting Early Cancer Diagnosis</w:t>
      </w:r>
      <w:bookmarkEnd w:id="20"/>
      <w:r>
        <w:t xml:space="preserve"> </w:t>
      </w:r>
    </w:p>
    <w:p w14:paraId="2C93D748" w14:textId="77777777" w:rsidR="004B2E1F" w:rsidRDefault="004B2E1F" w:rsidP="004B2E1F"/>
    <w:p w14:paraId="3EB6B302" w14:textId="2D26D9D3" w:rsidR="005E63C1" w:rsidRDefault="005E63C1" w:rsidP="00561BFE">
      <w:pPr>
        <w:spacing w:after="0" w:line="276" w:lineRule="auto"/>
        <w:rPr>
          <w:b/>
        </w:rPr>
      </w:pPr>
      <w:r w:rsidRPr="005E63C1">
        <w:rPr>
          <w:b/>
        </w:rPr>
        <w:t>Introduction</w:t>
      </w:r>
    </w:p>
    <w:p w14:paraId="467F471F" w14:textId="77777777" w:rsidR="00561BFE" w:rsidRPr="005E63C1" w:rsidRDefault="00561BFE" w:rsidP="00561BFE">
      <w:pPr>
        <w:spacing w:after="0" w:line="276" w:lineRule="auto"/>
        <w:rPr>
          <w:b/>
        </w:rPr>
      </w:pPr>
    </w:p>
    <w:p w14:paraId="3B65303C" w14:textId="33F83DAC" w:rsidR="002371B7" w:rsidRDefault="004B2E1F" w:rsidP="00561BFE">
      <w:pPr>
        <w:pStyle w:val="ListParagraph"/>
        <w:numPr>
          <w:ilvl w:val="1"/>
          <w:numId w:val="43"/>
        </w:numPr>
        <w:spacing w:line="276" w:lineRule="auto"/>
        <w:ind w:left="567" w:hanging="567"/>
      </w:pPr>
      <w:r>
        <w:t xml:space="preserve">The NHS Long Term Plan (LTP) </w:t>
      </w:r>
      <w:r w:rsidRPr="001D6991">
        <w:t xml:space="preserve">sets </w:t>
      </w:r>
      <w:r>
        <w:t>an</w:t>
      </w:r>
      <w:r w:rsidRPr="001D6991">
        <w:t xml:space="preserve"> ambition that, by 2028, the proportion of cancers diagnosed at stages 1 and 2 will rise from around half now to three-quarters</w:t>
      </w:r>
      <w:r>
        <w:t xml:space="preserve"> (75%)</w:t>
      </w:r>
      <w:r w:rsidRPr="001D6991">
        <w:t xml:space="preserve"> of cancer patients. Achieving this will mean that, from 2028, 55,000 more people each year will survive their cancer for at least five years after diagnosis.</w:t>
      </w:r>
      <w:r>
        <w:t xml:space="preserve"> </w:t>
      </w:r>
    </w:p>
    <w:p w14:paraId="5562BB16" w14:textId="77777777" w:rsidR="002371B7" w:rsidRDefault="002371B7" w:rsidP="00561BFE">
      <w:pPr>
        <w:pStyle w:val="ListParagraph"/>
        <w:spacing w:line="276" w:lineRule="auto"/>
        <w:ind w:left="360"/>
      </w:pPr>
    </w:p>
    <w:p w14:paraId="25710E24" w14:textId="514A38E6" w:rsidR="004B2E1F" w:rsidRDefault="004B2E1F" w:rsidP="00561BFE">
      <w:pPr>
        <w:pStyle w:val="ListParagraph"/>
        <w:numPr>
          <w:ilvl w:val="1"/>
          <w:numId w:val="43"/>
        </w:numPr>
        <w:spacing w:line="276" w:lineRule="auto"/>
        <w:ind w:left="567" w:hanging="567"/>
      </w:pPr>
      <w:r>
        <w:t xml:space="preserve">Primary care has a vital role to play in delivering this ambition, working closely with wider system partners including Cancer Alliances, secondary care, local Public Health Commissioning Teams and the voluntary sector. Through the requirements in the Network Contract DES, </w:t>
      </w:r>
      <w:r w:rsidR="005F2EF0">
        <w:t>p</w:t>
      </w:r>
      <w:r>
        <w:t xml:space="preserve">rimary </w:t>
      </w:r>
      <w:r w:rsidR="005F2EF0">
        <w:t>c</w:t>
      </w:r>
      <w:r>
        <w:t xml:space="preserve">are </w:t>
      </w:r>
      <w:r w:rsidR="005F2EF0">
        <w:t>n</w:t>
      </w:r>
      <w:r>
        <w:t>etworks will:</w:t>
      </w:r>
    </w:p>
    <w:p w14:paraId="7D3851D7" w14:textId="77777777" w:rsidR="00177844" w:rsidRDefault="00177844" w:rsidP="00561BFE">
      <w:pPr>
        <w:pStyle w:val="ListParagraph"/>
        <w:spacing w:line="276" w:lineRule="auto"/>
        <w:ind w:left="927"/>
      </w:pPr>
    </w:p>
    <w:p w14:paraId="74A8B258" w14:textId="4CAEAA27" w:rsidR="004B2E1F" w:rsidRDefault="004B2E1F" w:rsidP="00561BFE">
      <w:pPr>
        <w:pStyle w:val="ListParagraph"/>
        <w:numPr>
          <w:ilvl w:val="0"/>
          <w:numId w:val="8"/>
        </w:numPr>
        <w:spacing w:line="276" w:lineRule="auto"/>
      </w:pPr>
      <w:r>
        <w:t xml:space="preserve">Improve referral processes across GP practices, including by introduction of </w:t>
      </w:r>
      <w:r w:rsidR="00BC5FE2">
        <w:t xml:space="preserve">locally agreed </w:t>
      </w:r>
      <w:r>
        <w:t>standardised systems and processes for identifying people with suspected cancer, referral management and safety netting</w:t>
      </w:r>
      <w:r>
        <w:rPr>
          <w:rStyle w:val="FootnoteReference"/>
        </w:rPr>
        <w:footnoteReference w:id="13"/>
      </w:r>
      <w:r>
        <w:t>.</w:t>
      </w:r>
    </w:p>
    <w:p w14:paraId="06CEC2F2" w14:textId="77777777" w:rsidR="00177844" w:rsidRDefault="00177844" w:rsidP="00561BFE">
      <w:pPr>
        <w:pStyle w:val="ListParagraph"/>
        <w:spacing w:line="276" w:lineRule="auto"/>
        <w:ind w:left="927"/>
      </w:pPr>
    </w:p>
    <w:p w14:paraId="451983D2" w14:textId="3BE38412" w:rsidR="004B2E1F" w:rsidRDefault="004B2E1F" w:rsidP="00561BFE">
      <w:pPr>
        <w:pStyle w:val="ListParagraph"/>
        <w:numPr>
          <w:ilvl w:val="0"/>
          <w:numId w:val="8"/>
        </w:numPr>
        <w:spacing w:line="276" w:lineRule="auto"/>
      </w:pPr>
      <w:r>
        <w:t>lead and coordinate the contributions of practices</w:t>
      </w:r>
      <w:r w:rsidR="00BC5FE2">
        <w:t xml:space="preserve"> and the PCN</w:t>
      </w:r>
      <w:r>
        <w:t xml:space="preserve"> to efforts to increase the uptake of existing National Cancer Screening programmes</w:t>
      </w:r>
      <w:r w:rsidR="00BC5FE2">
        <w:t xml:space="preserve"> among their local populations</w:t>
      </w:r>
      <w:r>
        <w:t>.</w:t>
      </w:r>
    </w:p>
    <w:p w14:paraId="7EE2FB2F" w14:textId="77777777" w:rsidR="00177844" w:rsidRDefault="00177844" w:rsidP="00561BFE">
      <w:pPr>
        <w:pStyle w:val="ListParagraph"/>
        <w:spacing w:line="276" w:lineRule="auto"/>
        <w:ind w:left="924"/>
        <w:contextualSpacing w:val="0"/>
      </w:pPr>
    </w:p>
    <w:p w14:paraId="64CB297E" w14:textId="77777777" w:rsidR="004B2E1F" w:rsidRDefault="004B2E1F" w:rsidP="00561BFE">
      <w:pPr>
        <w:pStyle w:val="ListParagraph"/>
        <w:numPr>
          <w:ilvl w:val="0"/>
          <w:numId w:val="8"/>
        </w:numPr>
        <w:spacing w:line="276" w:lineRule="auto"/>
        <w:ind w:left="924" w:hanging="357"/>
        <w:contextualSpacing w:val="0"/>
      </w:pPr>
      <w:r>
        <w:t xml:space="preserve">Improve outcomes through reflective learning and collaboration with local partnerships </w:t>
      </w:r>
    </w:p>
    <w:p w14:paraId="6103A482" w14:textId="77777777" w:rsidR="00177844" w:rsidRDefault="00177844" w:rsidP="00561BFE">
      <w:pPr>
        <w:spacing w:after="0" w:line="276" w:lineRule="auto"/>
      </w:pPr>
    </w:p>
    <w:p w14:paraId="7BB21374" w14:textId="24E7C261" w:rsidR="007A4531" w:rsidRDefault="00793A10" w:rsidP="00561BFE">
      <w:pPr>
        <w:pStyle w:val="ListParagraph"/>
        <w:numPr>
          <w:ilvl w:val="1"/>
          <w:numId w:val="43"/>
        </w:numPr>
        <w:spacing w:line="276" w:lineRule="auto"/>
        <w:ind w:left="567" w:hanging="567"/>
      </w:pPr>
      <w:r>
        <w:t xml:space="preserve">An average PCN will have </w:t>
      </w:r>
      <w:r w:rsidR="00177844">
        <w:t xml:space="preserve">around </w:t>
      </w:r>
      <w:r w:rsidR="00BC5FE2">
        <w:t>250</w:t>
      </w:r>
      <w:r>
        <w:t xml:space="preserve"> new cancer diagnoses each year. Moving from around one half to three quarters of these getting a diagnosis at stage one or two </w:t>
      </w:r>
      <w:r w:rsidR="003C4FA5">
        <w:t>would mean around 60 more people being diagnosed early, increasing their likelihood of survival.</w:t>
      </w:r>
    </w:p>
    <w:p w14:paraId="7F133802" w14:textId="77777777" w:rsidR="003C4FA5" w:rsidRDefault="003C4FA5" w:rsidP="00561BFE">
      <w:pPr>
        <w:pStyle w:val="ListParagraph"/>
        <w:spacing w:line="276" w:lineRule="auto"/>
      </w:pPr>
    </w:p>
    <w:p w14:paraId="14268991" w14:textId="6A18D103" w:rsidR="002231FE" w:rsidRDefault="002231FE" w:rsidP="00561BFE">
      <w:pPr>
        <w:spacing w:after="0" w:line="276" w:lineRule="auto"/>
      </w:pPr>
      <w:r w:rsidRPr="003F5F88">
        <w:rPr>
          <w:rFonts w:cs="Arial"/>
          <w:b/>
        </w:rPr>
        <w:t>Existing provision and available support for PCNs</w:t>
      </w:r>
    </w:p>
    <w:p w14:paraId="2C559F78" w14:textId="77777777" w:rsidR="00BC5FE2" w:rsidRDefault="00BC5FE2" w:rsidP="00561BFE">
      <w:pPr>
        <w:pStyle w:val="ListParagraph"/>
        <w:spacing w:line="276" w:lineRule="auto"/>
        <w:ind w:left="360"/>
      </w:pPr>
    </w:p>
    <w:p w14:paraId="19D57107" w14:textId="0B41EA3E" w:rsidR="00BC5FE2" w:rsidRDefault="00BC5FE2" w:rsidP="00561BFE">
      <w:pPr>
        <w:pStyle w:val="ListParagraph"/>
        <w:numPr>
          <w:ilvl w:val="1"/>
          <w:numId w:val="43"/>
        </w:numPr>
        <w:spacing w:line="276" w:lineRule="auto"/>
        <w:ind w:left="567" w:hanging="567"/>
      </w:pPr>
      <w:r>
        <w:t>The service requirements support and further embed the clinical best practice detailed in NICE Guideline 12:</w:t>
      </w:r>
      <w:r w:rsidRPr="007A52AD">
        <w:rPr>
          <w:i/>
        </w:rPr>
        <w:t xml:space="preserve"> </w:t>
      </w:r>
      <w:r w:rsidRPr="0071484C">
        <w:rPr>
          <w:i/>
        </w:rPr>
        <w:t>Suspected cancer: recognition and referral</w:t>
      </w:r>
      <w:r>
        <w:rPr>
          <w:i/>
        </w:rPr>
        <w:t xml:space="preserve">. </w:t>
      </w:r>
      <w:r>
        <w:t xml:space="preserve"> All practices are already implementing the NICE guidelines and the development process for this specification has shown that much of general practice is already engaged in the actions set out in this specification to improve referrals, screening uptake and reflective practice</w:t>
      </w:r>
    </w:p>
    <w:p w14:paraId="4C7A4F16" w14:textId="77777777" w:rsidR="00BC5FE2" w:rsidRDefault="00BC5FE2" w:rsidP="00561BFE">
      <w:pPr>
        <w:pStyle w:val="ListParagraph"/>
        <w:spacing w:line="276" w:lineRule="auto"/>
      </w:pPr>
    </w:p>
    <w:p w14:paraId="7AC4017F" w14:textId="0784FB56" w:rsidR="00BC5FE2" w:rsidRDefault="00BC5FE2" w:rsidP="00561BFE">
      <w:pPr>
        <w:pStyle w:val="ListParagraph"/>
        <w:numPr>
          <w:ilvl w:val="1"/>
          <w:numId w:val="43"/>
        </w:numPr>
        <w:spacing w:line="276" w:lineRule="auto"/>
        <w:ind w:left="567" w:hanging="567"/>
      </w:pPr>
      <w:r>
        <w:t>PCNs will be supported by local system partners in the delivery of the specification and the ultimate improvement of local early diagnosis rates:</w:t>
      </w:r>
    </w:p>
    <w:p w14:paraId="63AC2203" w14:textId="77777777" w:rsidR="00BC5FE2" w:rsidRDefault="00BC5FE2" w:rsidP="00561BFE">
      <w:pPr>
        <w:pStyle w:val="ListParagraph"/>
        <w:spacing w:line="276" w:lineRule="auto"/>
      </w:pPr>
    </w:p>
    <w:p w14:paraId="3E4ADE3E" w14:textId="41823753" w:rsidR="00BC5FE2" w:rsidRPr="007305A1" w:rsidRDefault="00BC5FE2" w:rsidP="00561BFE">
      <w:pPr>
        <w:pStyle w:val="ListParagraph"/>
        <w:numPr>
          <w:ilvl w:val="0"/>
          <w:numId w:val="48"/>
        </w:numPr>
        <w:autoSpaceDE w:val="0"/>
        <w:autoSpaceDN w:val="0"/>
        <w:spacing w:line="276" w:lineRule="auto"/>
        <w:rPr>
          <w:rFonts w:ascii="Calibri" w:hAnsi="Calibri"/>
          <w:szCs w:val="24"/>
        </w:rPr>
      </w:pPr>
      <w:r>
        <w:t xml:space="preserve">Improving early diagnosis is a strategic and delivery priority for the 20 Cancer Alliances across England and they will support and work with PCNs to deliver the outcomes in this specification.  </w:t>
      </w:r>
    </w:p>
    <w:p w14:paraId="3B9138A1" w14:textId="77777777" w:rsidR="008879EA" w:rsidRPr="00EB3224" w:rsidRDefault="008879EA" w:rsidP="00561BFE">
      <w:pPr>
        <w:pStyle w:val="ListParagraph"/>
        <w:autoSpaceDE w:val="0"/>
        <w:autoSpaceDN w:val="0"/>
        <w:spacing w:line="276" w:lineRule="auto"/>
        <w:rPr>
          <w:rFonts w:ascii="Calibri" w:hAnsi="Calibri"/>
          <w:szCs w:val="24"/>
        </w:rPr>
      </w:pPr>
    </w:p>
    <w:p w14:paraId="4F3C9234" w14:textId="695145E2" w:rsidR="00BC5FE2" w:rsidRDefault="00BC5FE2" w:rsidP="00561BFE">
      <w:pPr>
        <w:pStyle w:val="ListParagraph"/>
        <w:numPr>
          <w:ilvl w:val="0"/>
          <w:numId w:val="47"/>
        </w:numPr>
        <w:spacing w:line="276" w:lineRule="auto"/>
      </w:pPr>
      <w:r>
        <w:t xml:space="preserve">The </w:t>
      </w:r>
      <w:hyperlink r:id="rId22" w:history="1">
        <w:r w:rsidR="00A07BBB" w:rsidRPr="00A07BBB">
          <w:rPr>
            <w:rStyle w:val="Hyperlink"/>
          </w:rPr>
          <w:t>P</w:t>
        </w:r>
        <w:r w:rsidRPr="00A07BBB">
          <w:rPr>
            <w:rStyle w:val="Hyperlink"/>
          </w:rPr>
          <w:t>ublic health national service specifications</w:t>
        </w:r>
      </w:hyperlink>
      <w:r>
        <w:rPr>
          <w:rStyle w:val="Hyperlink"/>
        </w:rPr>
        <w:t xml:space="preserve"> </w:t>
      </w:r>
      <w:r>
        <w:t>set out</w:t>
      </w:r>
      <w:r w:rsidRPr="004175A5">
        <w:t xml:space="preserve"> programmes </w:t>
      </w:r>
      <w:r>
        <w:t xml:space="preserve">for </w:t>
      </w:r>
      <w:r w:rsidRPr="004175A5">
        <w:t>supporting early diagnosis for breast, cervical and bowel</w:t>
      </w:r>
      <w:r>
        <w:t xml:space="preserve"> cancers and regional public health commissioning teams and Cancer Alliances will work with PCNs on local screening improvement plans.</w:t>
      </w:r>
    </w:p>
    <w:p w14:paraId="6DF2EBC8" w14:textId="77777777" w:rsidR="008879EA" w:rsidRDefault="008879EA" w:rsidP="00561BFE">
      <w:pPr>
        <w:pStyle w:val="ListParagraph"/>
        <w:spacing w:line="276" w:lineRule="auto"/>
      </w:pPr>
    </w:p>
    <w:p w14:paraId="6835668D" w14:textId="044B13A0" w:rsidR="00BC5FE2" w:rsidRDefault="00BC5FE2" w:rsidP="00561BFE">
      <w:pPr>
        <w:pStyle w:val="ListParagraph"/>
        <w:numPr>
          <w:ilvl w:val="0"/>
          <w:numId w:val="47"/>
        </w:numPr>
        <w:spacing w:line="276" w:lineRule="auto"/>
      </w:pPr>
      <w:r>
        <w:t>Voluntary organisations also have a defined local support offer which includes training, communities of practice with expert cancer GPs and practice nurses, and advice on population-level data to help drive service improvement.</w:t>
      </w:r>
    </w:p>
    <w:p w14:paraId="0EC2572E" w14:textId="77777777" w:rsidR="002231FE" w:rsidRDefault="002231FE" w:rsidP="00561BFE">
      <w:pPr>
        <w:pStyle w:val="ListParagraph"/>
        <w:spacing w:line="276" w:lineRule="auto"/>
        <w:ind w:left="567"/>
      </w:pPr>
    </w:p>
    <w:p w14:paraId="232325B2" w14:textId="2A7CEDCC" w:rsidR="002231FE" w:rsidRDefault="00BC5FE2" w:rsidP="00561BFE">
      <w:pPr>
        <w:pStyle w:val="ListParagraph"/>
        <w:numPr>
          <w:ilvl w:val="1"/>
          <w:numId w:val="43"/>
        </w:numPr>
        <w:spacing w:line="276" w:lineRule="auto"/>
        <w:ind w:left="567" w:hanging="567"/>
      </w:pPr>
      <w:r>
        <w:t xml:space="preserve">The implementation of wider </w:t>
      </w:r>
      <w:proofErr w:type="gramStart"/>
      <w:r>
        <w:t>Long Term</w:t>
      </w:r>
      <w:proofErr w:type="gramEnd"/>
      <w:r>
        <w:t xml:space="preserve"> Plan commitments will also support PCN implementation of this service. National Screening Programmes are being modernised and the development of a new referral pathway for people with serious but non-specific symptoms through </w:t>
      </w:r>
      <w:r w:rsidRPr="004175A5">
        <w:t>Rapid Diagnostic Centres (RDCs)</w:t>
      </w:r>
      <w:r>
        <w:t xml:space="preserve"> starting in 2019/20 will provide support faster diagnosis through more efficient diagnostic pathways and a clearer route for those with unclear symptoms.</w:t>
      </w:r>
    </w:p>
    <w:p w14:paraId="1669EF90" w14:textId="77777777" w:rsidR="004B2E1F" w:rsidRDefault="004B2E1F" w:rsidP="00561BFE">
      <w:pPr>
        <w:spacing w:after="0" w:line="276" w:lineRule="auto"/>
      </w:pPr>
    </w:p>
    <w:p w14:paraId="79182F3E" w14:textId="77777777" w:rsidR="004B2E1F" w:rsidRDefault="002D6C93" w:rsidP="00561BFE">
      <w:pPr>
        <w:spacing w:after="0" w:line="276" w:lineRule="auto"/>
        <w:rPr>
          <w:b/>
        </w:rPr>
      </w:pPr>
      <w:r>
        <w:rPr>
          <w:b/>
        </w:rPr>
        <w:t xml:space="preserve">Proposed </w:t>
      </w:r>
      <w:r w:rsidR="004B2E1F">
        <w:rPr>
          <w:b/>
        </w:rPr>
        <w:t>Service Model</w:t>
      </w:r>
    </w:p>
    <w:p w14:paraId="2FD945C0" w14:textId="77777777" w:rsidR="00177844" w:rsidRPr="00876313" w:rsidRDefault="00177844" w:rsidP="00561BFE">
      <w:pPr>
        <w:spacing w:after="0" w:line="276" w:lineRule="auto"/>
        <w:rPr>
          <w:b/>
        </w:rPr>
      </w:pPr>
    </w:p>
    <w:p w14:paraId="3D55A3B4" w14:textId="77777777" w:rsidR="007A4531" w:rsidRDefault="004B2E1F" w:rsidP="00561BFE">
      <w:pPr>
        <w:pStyle w:val="ListParagraph"/>
        <w:numPr>
          <w:ilvl w:val="1"/>
          <w:numId w:val="43"/>
        </w:numPr>
        <w:spacing w:line="276" w:lineRule="auto"/>
        <w:ind w:left="567" w:hanging="567"/>
      </w:pPr>
      <w:r>
        <w:t xml:space="preserve">Over the four-year period, PCNs should provide a leadership, enablement and support function across their component practices to deliver </w:t>
      </w:r>
      <w:r w:rsidRPr="007A4531">
        <w:t xml:space="preserve">the service requirements </w:t>
      </w:r>
      <w:r>
        <w:t>and ensure the highest standards across its practices. B</w:t>
      </w:r>
      <w:r w:rsidRPr="009E69AF">
        <w:t xml:space="preserve">y 2023/24, all PCNs </w:t>
      </w:r>
      <w:r>
        <w:t>will be expected to be undertaking a range of activity to contribute to realisation of their local Cancer Alliance target for number of p</w:t>
      </w:r>
      <w:r w:rsidRPr="009E69AF">
        <w:t>eople diagnosed at stages 1 and 2, set through the LTP planning process</w:t>
      </w:r>
      <w:r>
        <w:t>.</w:t>
      </w:r>
    </w:p>
    <w:p w14:paraId="1975F8C6" w14:textId="77777777" w:rsidR="007A4531" w:rsidRDefault="007A4531" w:rsidP="00561BFE">
      <w:pPr>
        <w:pStyle w:val="ListParagraph"/>
        <w:spacing w:line="276" w:lineRule="auto"/>
        <w:ind w:left="567" w:hanging="567"/>
      </w:pPr>
    </w:p>
    <w:p w14:paraId="5DD5893D" w14:textId="56362C76" w:rsidR="007A4531" w:rsidRDefault="004B2E1F" w:rsidP="00561BFE">
      <w:pPr>
        <w:pStyle w:val="ListParagraph"/>
        <w:numPr>
          <w:ilvl w:val="1"/>
          <w:numId w:val="43"/>
        </w:numPr>
        <w:spacing w:line="276" w:lineRule="auto"/>
        <w:ind w:left="567" w:hanging="567"/>
      </w:pPr>
      <w:r>
        <w:t xml:space="preserve">Through the PCN Dashboard, PCNs will have access to a variety of data allowing them to understand and explore trends in cancer presentation and diagnosis locally. National data sets will also enable comparison with other areas and encourage PCNs to learn from one another. Working with partners, such as Cancer Alliances, local public health commissioning teams and voluntary organisations, offers an opportunity for </w:t>
      </w:r>
      <w:r w:rsidR="005F2EF0">
        <w:t>PCNs</w:t>
      </w:r>
      <w:r>
        <w:t xml:space="preserve"> to leverage available support, guidance and training. </w:t>
      </w:r>
    </w:p>
    <w:p w14:paraId="63FEC3AC" w14:textId="77777777" w:rsidR="007A4531" w:rsidRDefault="007A4531" w:rsidP="00561BFE">
      <w:pPr>
        <w:pStyle w:val="ListParagraph"/>
        <w:spacing w:line="276" w:lineRule="auto"/>
        <w:ind w:left="567" w:hanging="567"/>
      </w:pPr>
    </w:p>
    <w:p w14:paraId="3FA58782" w14:textId="7DEDD9BA" w:rsidR="007A4531" w:rsidRDefault="004B2E1F" w:rsidP="00561BFE">
      <w:pPr>
        <w:pStyle w:val="ListParagraph"/>
        <w:numPr>
          <w:ilvl w:val="1"/>
          <w:numId w:val="43"/>
        </w:numPr>
        <w:spacing w:line="276" w:lineRule="auto"/>
        <w:ind w:left="567" w:hanging="567"/>
      </w:pPr>
      <w:r>
        <w:t xml:space="preserve">It is anticipated that the scope of activity undertaken by PCNs will increase year on year, as PCNs become more established </w:t>
      </w:r>
      <w:r w:rsidR="00BC5FE2">
        <w:t xml:space="preserve">and </w:t>
      </w:r>
      <w:r>
        <w:t xml:space="preserve">are able to build on what is learnt through audit and exploration of data and significant event analysis in the </w:t>
      </w:r>
      <w:r>
        <w:lastRenderedPageBreak/>
        <w:t>early years. The proposed trajectory for this is set out in more detail in the table below</w:t>
      </w:r>
      <w:r w:rsidR="00BC5FE2">
        <w:t>,</w:t>
      </w:r>
      <w:r>
        <w:t xml:space="preserve"> with specific requirements to be determined in future years. </w:t>
      </w:r>
    </w:p>
    <w:p w14:paraId="4C4C60E4" w14:textId="77777777" w:rsidR="007A4531" w:rsidRDefault="007A4531" w:rsidP="00561BFE">
      <w:pPr>
        <w:pStyle w:val="ListParagraph"/>
        <w:spacing w:line="276" w:lineRule="auto"/>
        <w:ind w:left="567" w:hanging="567"/>
      </w:pPr>
    </w:p>
    <w:p w14:paraId="292DDC6D" w14:textId="55174EC2" w:rsidR="004B2E1F" w:rsidRDefault="004B2E1F" w:rsidP="00561BFE">
      <w:pPr>
        <w:pStyle w:val="ListParagraph"/>
        <w:numPr>
          <w:ilvl w:val="1"/>
          <w:numId w:val="43"/>
        </w:numPr>
        <w:spacing w:line="276" w:lineRule="auto"/>
        <w:ind w:left="567" w:hanging="567"/>
      </w:pPr>
      <w:r>
        <w:t xml:space="preserve">The requirements for 2020/21 complement the content of the </w:t>
      </w:r>
      <w:r w:rsidRPr="007A4531">
        <w:rPr>
          <w:i/>
        </w:rPr>
        <w:t>Quality Improvement QOF domain – Early diagnosis of cancer,</w:t>
      </w:r>
      <w:r>
        <w:t xml:space="preserve"> which includes activity on improving referral practice and increasing screening uptake. Where practices take up this Quality Improvement QOF Domain, PCNs will ensure that associated learning and best practice is </w:t>
      </w:r>
      <w:r w:rsidR="00BC5FE2">
        <w:t>shared</w:t>
      </w:r>
      <w:r>
        <w:t>. Delivery of some parts of this specification will also contribute to Continued Professional Development requirements for practice and</w:t>
      </w:r>
      <w:r w:rsidR="00BC5FE2">
        <w:t xml:space="preserve"> staff working in the</w:t>
      </w:r>
      <w:r>
        <w:t xml:space="preserve"> PCN</w:t>
      </w:r>
      <w:r w:rsidR="00BC5FE2">
        <w:t>.</w:t>
      </w:r>
    </w:p>
    <w:p w14:paraId="5F6E1404" w14:textId="77777777" w:rsidR="00177844" w:rsidRDefault="00177844" w:rsidP="00561BFE">
      <w:pPr>
        <w:spacing w:after="0" w:line="276" w:lineRule="auto"/>
        <w:rPr>
          <w:b/>
        </w:rPr>
      </w:pPr>
    </w:p>
    <w:p w14:paraId="1D02D62A" w14:textId="77777777" w:rsidR="00177844" w:rsidRDefault="00177844" w:rsidP="00561BFE">
      <w:pPr>
        <w:spacing w:after="0" w:line="276" w:lineRule="auto"/>
        <w:rPr>
          <w:b/>
        </w:rPr>
      </w:pPr>
      <w:r>
        <w:rPr>
          <w:b/>
        </w:rPr>
        <w:t>Proposed phasing of service objectives from 2020/21 to 2023/24</w:t>
      </w:r>
    </w:p>
    <w:p w14:paraId="10DED4A4" w14:textId="77777777" w:rsidR="00304B6E" w:rsidRDefault="00304B6E" w:rsidP="00561BFE">
      <w:pPr>
        <w:spacing w:after="0" w:line="276" w:lineRule="auto"/>
        <w:rPr>
          <w:b/>
        </w:rPr>
      </w:pPr>
    </w:p>
    <w:p w14:paraId="4F9040B7" w14:textId="1DF9AC6F" w:rsidR="00177844" w:rsidRDefault="00177844" w:rsidP="00561BFE">
      <w:pPr>
        <w:pStyle w:val="ListParagraph"/>
        <w:numPr>
          <w:ilvl w:val="1"/>
          <w:numId w:val="43"/>
        </w:numPr>
        <w:spacing w:line="276" w:lineRule="auto"/>
        <w:ind w:left="567" w:hanging="567"/>
      </w:pPr>
      <w:r>
        <w:t xml:space="preserve">The requirements in this specification will be phased over time, as capacity both within </w:t>
      </w:r>
      <w:r w:rsidR="00BC5FE2">
        <w:t>PCNs</w:t>
      </w:r>
      <w:r>
        <w:t xml:space="preserve"> and the wider pathway for cancer diagnosis and treatment increases. The table below </w:t>
      </w:r>
      <w:r w:rsidR="00C22CF8">
        <w:t>summarises</w:t>
      </w:r>
      <w:r>
        <w:t xml:space="preserve"> the expected phasing of objectives from 2020/21 to 2023/24:</w:t>
      </w:r>
    </w:p>
    <w:p w14:paraId="5C0866F7" w14:textId="77777777" w:rsidR="00177844" w:rsidRDefault="00177844" w:rsidP="00561BFE">
      <w:pPr>
        <w:pStyle w:val="ListParagraph"/>
        <w:spacing w:line="276" w:lineRule="auto"/>
        <w:ind w:left="567"/>
      </w:pPr>
    </w:p>
    <w:tbl>
      <w:tblPr>
        <w:tblStyle w:val="TableGrid"/>
        <w:tblW w:w="0" w:type="auto"/>
        <w:tblLook w:val="04A0" w:firstRow="1" w:lastRow="0" w:firstColumn="1" w:lastColumn="0" w:noHBand="0" w:noVBand="1"/>
      </w:tblPr>
      <w:tblGrid>
        <w:gridCol w:w="1129"/>
        <w:gridCol w:w="7887"/>
      </w:tblGrid>
      <w:tr w:rsidR="00177844" w:rsidRPr="009F0767" w14:paraId="18082C7E" w14:textId="77777777" w:rsidTr="00AA4D31">
        <w:tc>
          <w:tcPr>
            <w:tcW w:w="1129" w:type="dxa"/>
          </w:tcPr>
          <w:p w14:paraId="4962FE14" w14:textId="77777777" w:rsidR="00177844" w:rsidRDefault="00177844" w:rsidP="00561BFE">
            <w:pPr>
              <w:spacing w:line="276" w:lineRule="auto"/>
              <w:rPr>
                <w:rFonts w:cs="Arial"/>
              </w:rPr>
            </w:pPr>
            <w:r>
              <w:rPr>
                <w:rFonts w:cs="Arial"/>
              </w:rPr>
              <w:t>2020/21</w:t>
            </w:r>
          </w:p>
        </w:tc>
        <w:tc>
          <w:tcPr>
            <w:tcW w:w="7887" w:type="dxa"/>
          </w:tcPr>
          <w:p w14:paraId="75BA11C4" w14:textId="77777777" w:rsidR="00177844" w:rsidRPr="00177844" w:rsidRDefault="00177844" w:rsidP="00561BFE">
            <w:pPr>
              <w:spacing w:line="276" w:lineRule="auto"/>
              <w:rPr>
                <w:rFonts w:cs="Arial"/>
                <w:b/>
              </w:rPr>
            </w:pPr>
            <w:r w:rsidRPr="004674CF">
              <w:rPr>
                <w:b/>
              </w:rPr>
              <w:t>Improving referral practice</w:t>
            </w:r>
          </w:p>
          <w:p w14:paraId="7E48777F" w14:textId="324F3B98" w:rsidR="00177844" w:rsidRPr="00A66611" w:rsidRDefault="00177844" w:rsidP="00561BFE">
            <w:pPr>
              <w:pStyle w:val="ListParagraph"/>
              <w:numPr>
                <w:ilvl w:val="0"/>
                <w:numId w:val="36"/>
              </w:numPr>
              <w:spacing w:line="276" w:lineRule="auto"/>
              <w:rPr>
                <w:rFonts w:eastAsia="HGSMinchoE"/>
                <w:szCs w:val="24"/>
              </w:rPr>
            </w:pPr>
            <w:r w:rsidRPr="00A66611">
              <w:rPr>
                <w:rFonts w:eastAsia="HGSMinchoE"/>
                <w:szCs w:val="24"/>
              </w:rPr>
              <w:t>Enable and support practices to improve the quality of their referrals for suspected cancer</w:t>
            </w:r>
            <w:r w:rsidR="00087CFA">
              <w:rPr>
                <w:rFonts w:eastAsia="HGSMinchoE"/>
                <w:szCs w:val="24"/>
              </w:rPr>
              <w:t xml:space="preserve"> (including recurrent cancers)</w:t>
            </w:r>
            <w:r w:rsidRPr="00A66611">
              <w:rPr>
                <w:rFonts w:eastAsia="HGSMinchoE"/>
                <w:szCs w:val="24"/>
              </w:rPr>
              <w:t>, in line with NICE guidance and making use of new RDC pathway for people with serious but non-specific symptoms where available.</w:t>
            </w:r>
          </w:p>
          <w:p w14:paraId="314D58FA" w14:textId="77777777" w:rsidR="005F2EF0" w:rsidRDefault="00177844" w:rsidP="00561BFE">
            <w:pPr>
              <w:pStyle w:val="ListParagraph"/>
              <w:numPr>
                <w:ilvl w:val="0"/>
                <w:numId w:val="36"/>
              </w:numPr>
              <w:spacing w:line="276" w:lineRule="auto"/>
              <w:rPr>
                <w:rFonts w:eastAsia="HGSMinchoE"/>
                <w:szCs w:val="24"/>
              </w:rPr>
            </w:pPr>
            <w:r w:rsidRPr="00A66611">
              <w:rPr>
                <w:rFonts w:eastAsia="HGSMinchoE"/>
                <w:szCs w:val="24"/>
              </w:rPr>
              <w:t>Introduce safety netting approach for</w:t>
            </w:r>
            <w:r w:rsidR="00CB2C68">
              <w:rPr>
                <w:rFonts w:eastAsia="HGSMinchoE"/>
                <w:szCs w:val="24"/>
              </w:rPr>
              <w:t xml:space="preserve"> monitoring</w:t>
            </w:r>
            <w:r w:rsidRPr="00A66611">
              <w:rPr>
                <w:rFonts w:eastAsia="HGSMinchoE"/>
                <w:szCs w:val="24"/>
              </w:rPr>
              <w:t xml:space="preserve"> patients referred for suspected cancer and those who have been referred for investigations to inform decision to refer.</w:t>
            </w:r>
          </w:p>
          <w:p w14:paraId="7CD8B0ED" w14:textId="7F5B370C" w:rsidR="00177844" w:rsidRDefault="00087CFA" w:rsidP="00561BFE">
            <w:pPr>
              <w:pStyle w:val="ListParagraph"/>
              <w:numPr>
                <w:ilvl w:val="0"/>
                <w:numId w:val="36"/>
              </w:numPr>
              <w:spacing w:line="276" w:lineRule="auto"/>
              <w:rPr>
                <w:rFonts w:eastAsia="HGSMinchoE"/>
                <w:szCs w:val="24"/>
              </w:rPr>
            </w:pPr>
            <w:r w:rsidRPr="005F2EF0">
              <w:rPr>
                <w:rFonts w:eastAsia="HGSMinchoE"/>
                <w:szCs w:val="24"/>
              </w:rPr>
              <w:t>Ensure patients receive high-quality information on their referral.</w:t>
            </w:r>
          </w:p>
          <w:p w14:paraId="695BCB75" w14:textId="77777777" w:rsidR="005F2EF0" w:rsidRPr="005F2EF0" w:rsidRDefault="005F2EF0" w:rsidP="00561BFE">
            <w:pPr>
              <w:pStyle w:val="ListParagraph"/>
              <w:spacing w:line="276" w:lineRule="auto"/>
              <w:ind w:left="360"/>
              <w:rPr>
                <w:rFonts w:eastAsia="HGSMinchoE"/>
                <w:szCs w:val="24"/>
              </w:rPr>
            </w:pPr>
          </w:p>
          <w:p w14:paraId="2008798C" w14:textId="77777777" w:rsidR="00C22CF8" w:rsidRDefault="00177844" w:rsidP="00561BFE">
            <w:pPr>
              <w:spacing w:line="276" w:lineRule="auto"/>
            </w:pPr>
            <w:r w:rsidRPr="004674CF">
              <w:rPr>
                <w:b/>
              </w:rPr>
              <w:t>Increasing uptake of National Cancer Screening Programmes</w:t>
            </w:r>
            <w:r w:rsidRPr="00C22CF8">
              <w:t xml:space="preserve"> </w:t>
            </w:r>
          </w:p>
          <w:p w14:paraId="002BB6AC" w14:textId="77777777" w:rsidR="00C22CF8" w:rsidRDefault="00C22CF8" w:rsidP="00561BFE">
            <w:pPr>
              <w:pStyle w:val="ListParagraph"/>
              <w:numPr>
                <w:ilvl w:val="0"/>
                <w:numId w:val="36"/>
              </w:numPr>
              <w:spacing w:line="276" w:lineRule="auto"/>
              <w:rPr>
                <w:rFonts w:eastAsia="HGSMinchoE"/>
                <w:szCs w:val="24"/>
              </w:rPr>
            </w:pPr>
            <w:r w:rsidRPr="00C22CF8">
              <w:rPr>
                <w:rFonts w:eastAsia="HGSMinchoE"/>
                <w:szCs w:val="24"/>
              </w:rPr>
              <w:t>Building on existing practice-level actions, lead and coordinate practices’ contribution to improving screening uptake.</w:t>
            </w:r>
          </w:p>
          <w:p w14:paraId="280B8A8D" w14:textId="77777777" w:rsidR="00103BB7" w:rsidRPr="004674CF" w:rsidRDefault="00103BB7" w:rsidP="00561BFE">
            <w:pPr>
              <w:pStyle w:val="ListParagraph"/>
              <w:numPr>
                <w:ilvl w:val="0"/>
                <w:numId w:val="36"/>
              </w:numPr>
              <w:spacing w:line="276" w:lineRule="auto"/>
            </w:pPr>
            <w:r>
              <w:rPr>
                <w:rFonts w:eastAsia="HGSMinchoE"/>
                <w:szCs w:val="24"/>
              </w:rPr>
              <w:t>Develop a PCN</w:t>
            </w:r>
            <w:r w:rsidRPr="004674CF">
              <w:rPr>
                <w:rFonts w:eastAsia="HGSMinchoE"/>
                <w:szCs w:val="24"/>
              </w:rPr>
              <w:t xml:space="preserve"> screening improvement action plan</w:t>
            </w:r>
            <w:r>
              <w:rPr>
                <w:rFonts w:eastAsia="HGSMinchoE"/>
                <w:szCs w:val="24"/>
              </w:rPr>
              <w:t xml:space="preserve"> for 2021/22 that contributes to delivery of the local system plan (shared with Public Health Commissioning team and Cancer Alliance) </w:t>
            </w:r>
            <w:r w:rsidRPr="004674CF">
              <w:rPr>
                <w:rFonts w:eastAsia="HGSMinchoE"/>
                <w:szCs w:val="24"/>
              </w:rPr>
              <w:t xml:space="preserve"> </w:t>
            </w:r>
          </w:p>
          <w:p w14:paraId="5DCF0130" w14:textId="77777777" w:rsidR="00C22CF8" w:rsidRDefault="00C22CF8" w:rsidP="00561BFE">
            <w:pPr>
              <w:spacing w:line="276" w:lineRule="auto"/>
              <w:rPr>
                <w:b/>
              </w:rPr>
            </w:pPr>
          </w:p>
          <w:p w14:paraId="696D7EFA" w14:textId="77777777" w:rsidR="00C22CF8" w:rsidRDefault="00C22CF8" w:rsidP="00561BFE">
            <w:pPr>
              <w:spacing w:line="276" w:lineRule="auto"/>
              <w:rPr>
                <w:b/>
              </w:rPr>
            </w:pPr>
            <w:r w:rsidRPr="00C22CF8">
              <w:rPr>
                <w:b/>
              </w:rPr>
              <w:t xml:space="preserve">Improving outcomes through reflective learning and local system partnerships </w:t>
            </w:r>
          </w:p>
          <w:p w14:paraId="28AD3648" w14:textId="77777777" w:rsidR="00177844" w:rsidRPr="004674CF" w:rsidRDefault="00C22CF8" w:rsidP="00561BFE">
            <w:pPr>
              <w:pStyle w:val="ListParagraph"/>
              <w:numPr>
                <w:ilvl w:val="0"/>
                <w:numId w:val="36"/>
              </w:numPr>
              <w:spacing w:line="276" w:lineRule="auto"/>
            </w:pPr>
            <w:r w:rsidRPr="00C22CF8">
              <w:rPr>
                <w:rFonts w:eastAsia="HGSMinchoE"/>
                <w:szCs w:val="24"/>
              </w:rPr>
              <w:t xml:space="preserve">Develop a community of practice across the PCN and encourage practices’ engagement with local system partners, in particular </w:t>
            </w:r>
            <w:r w:rsidRPr="004674CF">
              <w:rPr>
                <w:rFonts w:eastAsia="HGSMinchoE"/>
                <w:szCs w:val="24"/>
              </w:rPr>
              <w:t>the Cancer Alliance, to enable delivery of the service requirements.</w:t>
            </w:r>
          </w:p>
        </w:tc>
      </w:tr>
      <w:tr w:rsidR="00177844" w14:paraId="128D4C35" w14:textId="77777777" w:rsidTr="00AA4D31">
        <w:tc>
          <w:tcPr>
            <w:tcW w:w="1129" w:type="dxa"/>
          </w:tcPr>
          <w:p w14:paraId="0C9FAA6E" w14:textId="77777777" w:rsidR="00177844" w:rsidRDefault="00177844" w:rsidP="00561BFE">
            <w:pPr>
              <w:spacing w:line="276" w:lineRule="auto"/>
              <w:rPr>
                <w:rFonts w:cs="Arial"/>
              </w:rPr>
            </w:pPr>
            <w:r>
              <w:rPr>
                <w:rFonts w:cs="Arial"/>
              </w:rPr>
              <w:t>2021/22</w:t>
            </w:r>
          </w:p>
        </w:tc>
        <w:tc>
          <w:tcPr>
            <w:tcW w:w="7887" w:type="dxa"/>
          </w:tcPr>
          <w:p w14:paraId="6459EA77" w14:textId="77777777" w:rsidR="00C22CF8" w:rsidRPr="00177844" w:rsidRDefault="00C22CF8" w:rsidP="00561BFE">
            <w:pPr>
              <w:spacing w:line="276" w:lineRule="auto"/>
              <w:rPr>
                <w:rFonts w:cs="Arial"/>
                <w:b/>
              </w:rPr>
            </w:pPr>
            <w:r w:rsidRPr="009F0767">
              <w:rPr>
                <w:b/>
              </w:rPr>
              <w:t>Improving referral practice</w:t>
            </w:r>
          </w:p>
          <w:p w14:paraId="6884D362" w14:textId="71445EA6" w:rsidR="00C22CF8" w:rsidRPr="00A66611" w:rsidRDefault="00087CFA" w:rsidP="00561BFE">
            <w:pPr>
              <w:pStyle w:val="ListParagraph"/>
              <w:numPr>
                <w:ilvl w:val="0"/>
                <w:numId w:val="21"/>
              </w:numPr>
              <w:spacing w:line="276" w:lineRule="auto"/>
              <w:rPr>
                <w:rFonts w:eastAsia="HGSMinchoE"/>
                <w:szCs w:val="24"/>
              </w:rPr>
            </w:pPr>
            <w:r>
              <w:rPr>
                <w:rFonts w:eastAsia="HGSMinchoE"/>
                <w:szCs w:val="24"/>
              </w:rPr>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4AAE55FB" w14:textId="1CA1AFBE" w:rsidR="00C22CF8" w:rsidRDefault="00087CFA" w:rsidP="00561BFE">
            <w:pPr>
              <w:pStyle w:val="ListParagraph"/>
              <w:numPr>
                <w:ilvl w:val="0"/>
                <w:numId w:val="21"/>
              </w:numPr>
              <w:spacing w:line="276" w:lineRule="auto"/>
              <w:rPr>
                <w:rFonts w:eastAsia="HGSMinchoE"/>
                <w:szCs w:val="24"/>
              </w:rPr>
            </w:pPr>
            <w:r>
              <w:rPr>
                <w:rFonts w:eastAsia="HGSMinchoE"/>
                <w:szCs w:val="24"/>
              </w:rPr>
              <w:lastRenderedPageBreak/>
              <w:t>C</w:t>
            </w:r>
            <w:r w:rsidR="00C22CF8" w:rsidRPr="00A66611">
              <w:rPr>
                <w:rFonts w:eastAsia="HGSMinchoE"/>
                <w:szCs w:val="24"/>
              </w:rPr>
              <w:t>ontinue to review and improve referral practices, building on 20</w:t>
            </w:r>
            <w:r>
              <w:rPr>
                <w:rFonts w:eastAsia="HGSMinchoE"/>
                <w:szCs w:val="24"/>
              </w:rPr>
              <w:t>20</w:t>
            </w:r>
            <w:r w:rsidR="00C22CF8" w:rsidRPr="00A66611">
              <w:rPr>
                <w:rFonts w:eastAsia="HGSMinchoE"/>
                <w:szCs w:val="24"/>
              </w:rPr>
              <w:t>/21 learning and activities, including through Significant Event Analysis and peer to peer learning</w:t>
            </w:r>
            <w:r w:rsidR="00541CAA">
              <w:rPr>
                <w:rFonts w:eastAsia="HGSMinchoE"/>
                <w:szCs w:val="24"/>
              </w:rPr>
              <w:t xml:space="preserve"> and further analysis of local population data</w:t>
            </w:r>
          </w:p>
          <w:p w14:paraId="1D254FEF" w14:textId="41635E4B" w:rsidR="00C22CF8" w:rsidRPr="00DB181C" w:rsidRDefault="00C22CF8" w:rsidP="00561BFE">
            <w:pPr>
              <w:pStyle w:val="ListParagraph"/>
              <w:numPr>
                <w:ilvl w:val="0"/>
                <w:numId w:val="21"/>
              </w:numPr>
              <w:spacing w:line="276" w:lineRule="auto"/>
            </w:pPr>
            <w:r w:rsidRPr="004674CF">
              <w:rPr>
                <w:rFonts w:eastAsia="HGSMinchoE"/>
                <w:szCs w:val="24"/>
              </w:rPr>
              <w:t xml:space="preserve">Expand safety netting to include monitoring of patients with non-specific symptoms </w:t>
            </w:r>
            <w:r w:rsidR="007C6E96">
              <w:rPr>
                <w:rFonts w:eastAsia="HGSMinchoE"/>
                <w:szCs w:val="24"/>
              </w:rPr>
              <w:t>where the GP has a significant clinical concern but</w:t>
            </w:r>
            <w:r w:rsidRPr="004674CF">
              <w:rPr>
                <w:rFonts w:eastAsia="HGSMinchoE"/>
                <w:szCs w:val="24"/>
              </w:rPr>
              <w:t xml:space="preserve"> are not immediately referred for suspected cancer.</w:t>
            </w:r>
            <w:r w:rsidR="00BE2F99">
              <w:rPr>
                <w:rStyle w:val="FootnoteReference"/>
                <w:rFonts w:eastAsia="HGSMinchoE"/>
                <w:szCs w:val="24"/>
              </w:rPr>
              <w:footnoteReference w:id="14"/>
            </w:r>
          </w:p>
          <w:p w14:paraId="1C2534EC" w14:textId="5CE3E7E1" w:rsidR="00087CFA" w:rsidRPr="004674CF" w:rsidRDefault="00087CFA" w:rsidP="00561BFE">
            <w:pPr>
              <w:pStyle w:val="ListParagraph"/>
              <w:numPr>
                <w:ilvl w:val="0"/>
                <w:numId w:val="21"/>
              </w:numPr>
              <w:spacing w:line="276" w:lineRule="auto"/>
            </w:pPr>
            <w:r>
              <w:t>Continue to ensure patients receive high-quality information on their referral (for all future years)</w:t>
            </w:r>
          </w:p>
          <w:p w14:paraId="3B783DD2" w14:textId="77777777" w:rsidR="00C22CF8" w:rsidRDefault="00C22CF8" w:rsidP="00561BFE">
            <w:pPr>
              <w:spacing w:line="276" w:lineRule="auto"/>
              <w:rPr>
                <w:b/>
              </w:rPr>
            </w:pPr>
          </w:p>
          <w:p w14:paraId="0EE86B65" w14:textId="77777777" w:rsidR="00C22CF8" w:rsidRDefault="00C22CF8" w:rsidP="00561BFE">
            <w:pPr>
              <w:spacing w:line="276" w:lineRule="auto"/>
            </w:pPr>
            <w:r w:rsidRPr="009F0767">
              <w:rPr>
                <w:b/>
              </w:rPr>
              <w:t>Increasing uptake of National Cancer Screening Programmes</w:t>
            </w:r>
            <w:r w:rsidRPr="00C22CF8">
              <w:t xml:space="preserve"> </w:t>
            </w:r>
          </w:p>
          <w:p w14:paraId="056CCDD3" w14:textId="711CFE7C" w:rsidR="00C22CF8" w:rsidRPr="004674CF" w:rsidRDefault="00087CFA" w:rsidP="00561BFE">
            <w:pPr>
              <w:pStyle w:val="ListParagraph"/>
              <w:numPr>
                <w:ilvl w:val="0"/>
                <w:numId w:val="37"/>
              </w:numPr>
              <w:spacing w:line="276" w:lineRule="auto"/>
              <w:rPr>
                <w:b/>
              </w:rPr>
            </w:pPr>
            <w:r>
              <w:rPr>
                <w:rFonts w:eastAsia="HGSMinchoE"/>
                <w:szCs w:val="24"/>
              </w:rPr>
              <w:t>D</w:t>
            </w:r>
            <w:r w:rsidR="00C22CF8" w:rsidRPr="004674CF">
              <w:rPr>
                <w:rFonts w:eastAsia="HGSMinchoE"/>
                <w:szCs w:val="24"/>
              </w:rPr>
              <w:t xml:space="preserve">eliver agreed actions from their </w:t>
            </w:r>
            <w:r>
              <w:rPr>
                <w:rFonts w:eastAsia="HGSMinchoE"/>
                <w:szCs w:val="24"/>
              </w:rPr>
              <w:t xml:space="preserve">2021/22 PCN screening </w:t>
            </w:r>
            <w:r w:rsidR="00C22CF8" w:rsidRPr="004674CF">
              <w:rPr>
                <w:rFonts w:eastAsia="HGSMinchoE"/>
                <w:szCs w:val="24"/>
              </w:rPr>
              <w:t>improvement action plan, in line with Public Health Commissioning and Cancer Alliance plan</w:t>
            </w:r>
            <w:r>
              <w:rPr>
                <w:rFonts w:eastAsia="HGSMinchoE"/>
                <w:szCs w:val="24"/>
              </w:rPr>
              <w:t>. Update plan for 2022/23</w:t>
            </w:r>
          </w:p>
          <w:p w14:paraId="3A20B9BF" w14:textId="77777777" w:rsidR="00C22CF8" w:rsidRDefault="00C22CF8" w:rsidP="00561BFE">
            <w:pPr>
              <w:spacing w:line="276" w:lineRule="auto"/>
              <w:rPr>
                <w:b/>
              </w:rPr>
            </w:pPr>
          </w:p>
          <w:p w14:paraId="1482A0AB" w14:textId="77777777" w:rsidR="00C22CF8" w:rsidRDefault="00C22CF8" w:rsidP="00561BFE">
            <w:pPr>
              <w:spacing w:line="276" w:lineRule="auto"/>
              <w:rPr>
                <w:b/>
              </w:rPr>
            </w:pPr>
            <w:r w:rsidRPr="00C22CF8">
              <w:rPr>
                <w:b/>
              </w:rPr>
              <w:t xml:space="preserve">Improving outcomes through reflective learning and local system partnerships </w:t>
            </w:r>
          </w:p>
          <w:p w14:paraId="725A7026" w14:textId="77777777" w:rsidR="00177844" w:rsidRPr="004674CF" w:rsidRDefault="00C22CF8" w:rsidP="00561BFE">
            <w:pPr>
              <w:pStyle w:val="ListParagraph"/>
              <w:numPr>
                <w:ilvl w:val="0"/>
                <w:numId w:val="37"/>
              </w:numPr>
              <w:spacing w:line="276" w:lineRule="auto"/>
              <w:rPr>
                <w:rFonts w:cs="Arial"/>
              </w:rPr>
            </w:pPr>
            <w:r w:rsidRPr="004674CF">
              <w:rPr>
                <w:rFonts w:eastAsia="HGSMinchoE"/>
                <w:szCs w:val="24"/>
              </w:rPr>
              <w:t>Working with local system partners</w:t>
            </w:r>
            <w:r w:rsidR="00541CAA">
              <w:rPr>
                <w:rFonts w:eastAsia="HGSMinchoE"/>
                <w:szCs w:val="24"/>
              </w:rPr>
              <w:t xml:space="preserve"> (including patient groups)</w:t>
            </w:r>
            <w:r w:rsidRPr="004674CF">
              <w:rPr>
                <w:rFonts w:eastAsia="HGSMinchoE"/>
                <w:szCs w:val="24"/>
              </w:rPr>
              <w:t>, PCNs to proactively engage the local community to promote healthier lifestyles, awareness of signs and symptoms and availability of support.</w:t>
            </w:r>
          </w:p>
        </w:tc>
      </w:tr>
      <w:tr w:rsidR="00C22CF8" w14:paraId="3C9D49AA" w14:textId="77777777" w:rsidTr="00AA4D31">
        <w:tc>
          <w:tcPr>
            <w:tcW w:w="1129" w:type="dxa"/>
          </w:tcPr>
          <w:p w14:paraId="51B13E08" w14:textId="77777777" w:rsidR="00C22CF8" w:rsidRDefault="00C22CF8" w:rsidP="00561BFE">
            <w:pPr>
              <w:spacing w:line="276" w:lineRule="auto"/>
              <w:rPr>
                <w:rFonts w:cs="Arial"/>
              </w:rPr>
            </w:pPr>
            <w:r>
              <w:rPr>
                <w:rFonts w:cs="Arial"/>
              </w:rPr>
              <w:lastRenderedPageBreak/>
              <w:t>2022/23</w:t>
            </w:r>
          </w:p>
        </w:tc>
        <w:tc>
          <w:tcPr>
            <w:tcW w:w="7887" w:type="dxa"/>
          </w:tcPr>
          <w:p w14:paraId="17A59C44" w14:textId="77777777" w:rsidR="00C22CF8" w:rsidRPr="00177844" w:rsidRDefault="00C22CF8" w:rsidP="00561BFE">
            <w:pPr>
              <w:spacing w:line="276" w:lineRule="auto"/>
              <w:rPr>
                <w:rFonts w:cs="Arial"/>
                <w:b/>
              </w:rPr>
            </w:pPr>
            <w:r w:rsidRPr="009F0767">
              <w:rPr>
                <w:b/>
              </w:rPr>
              <w:t>Improving referral practice</w:t>
            </w:r>
          </w:p>
          <w:p w14:paraId="47688AA2" w14:textId="5AE0A712" w:rsidR="00C22CF8" w:rsidRPr="008F5299" w:rsidRDefault="00087CFA" w:rsidP="00561BFE">
            <w:pPr>
              <w:pStyle w:val="ListParagraph"/>
              <w:numPr>
                <w:ilvl w:val="0"/>
                <w:numId w:val="21"/>
              </w:numPr>
              <w:spacing w:line="276" w:lineRule="auto"/>
              <w:rPr>
                <w:rFonts w:eastAsia="HGSMinchoE"/>
                <w:szCs w:val="24"/>
              </w:rPr>
            </w:pPr>
            <w:r>
              <w:rPr>
                <w:rFonts w:eastAsia="HGSMinchoE"/>
                <w:szCs w:val="24"/>
              </w:rPr>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109B4FF5" w14:textId="77777777" w:rsidR="00C22CF8" w:rsidRPr="00A66611" w:rsidRDefault="00C22CF8" w:rsidP="00561BFE">
            <w:pPr>
              <w:pStyle w:val="ListParagraph"/>
              <w:numPr>
                <w:ilvl w:val="0"/>
                <w:numId w:val="21"/>
              </w:numPr>
              <w:spacing w:line="276" w:lineRule="auto"/>
              <w:rPr>
                <w:rFonts w:eastAsia="HGSMinchoE"/>
                <w:szCs w:val="24"/>
              </w:rPr>
            </w:pPr>
            <w:r w:rsidRPr="00A66611">
              <w:rPr>
                <w:rFonts w:eastAsia="HGSMinchoE"/>
                <w:szCs w:val="24"/>
              </w:rPr>
              <w:t>PCNs continue to review and improve referral practices, building on 20/21 learning and activities, including through Significant Event Analysis and peer to peer learning</w:t>
            </w:r>
          </w:p>
          <w:p w14:paraId="31571B15" w14:textId="77777777" w:rsidR="00C22CF8" w:rsidRDefault="00C22CF8" w:rsidP="00561BFE">
            <w:pPr>
              <w:spacing w:line="276" w:lineRule="auto"/>
              <w:rPr>
                <w:b/>
              </w:rPr>
            </w:pPr>
          </w:p>
          <w:p w14:paraId="75B6CD7E" w14:textId="77777777" w:rsidR="00C22CF8" w:rsidRDefault="00C22CF8" w:rsidP="00561BFE">
            <w:pPr>
              <w:spacing w:line="276" w:lineRule="auto"/>
            </w:pPr>
            <w:r w:rsidRPr="009F0767">
              <w:rPr>
                <w:b/>
              </w:rPr>
              <w:t>Increasing uptake of National Cancer Screening Programmes</w:t>
            </w:r>
            <w:r w:rsidRPr="00C22CF8">
              <w:t xml:space="preserve"> </w:t>
            </w:r>
          </w:p>
          <w:p w14:paraId="00F644F3" w14:textId="77777777" w:rsidR="00C22CF8" w:rsidRPr="009F0767" w:rsidRDefault="00C22CF8" w:rsidP="00561BFE">
            <w:pPr>
              <w:pStyle w:val="ListParagraph"/>
              <w:numPr>
                <w:ilvl w:val="0"/>
                <w:numId w:val="37"/>
              </w:numPr>
              <w:spacing w:line="276" w:lineRule="auto"/>
              <w:rPr>
                <w:rFonts w:eastAsia="HGSMinchoE"/>
                <w:b/>
                <w:szCs w:val="24"/>
              </w:rPr>
            </w:pPr>
            <w:r w:rsidRPr="00A66611">
              <w:rPr>
                <w:rFonts w:eastAsia="HGSMinchoE"/>
                <w:szCs w:val="24"/>
              </w:rPr>
              <w:t xml:space="preserve">Update </w:t>
            </w:r>
            <w:r>
              <w:rPr>
                <w:rFonts w:eastAsia="HGSMinchoE"/>
                <w:szCs w:val="24"/>
              </w:rPr>
              <w:t>&amp;</w:t>
            </w:r>
            <w:r w:rsidRPr="00A66611">
              <w:rPr>
                <w:rFonts w:eastAsia="HGSMinchoE"/>
                <w:szCs w:val="24"/>
              </w:rPr>
              <w:t xml:space="preserve"> implement local screening improvement action plan.</w:t>
            </w:r>
          </w:p>
          <w:p w14:paraId="02BFE098" w14:textId="77777777" w:rsidR="00C22CF8" w:rsidRDefault="00C22CF8" w:rsidP="00561BFE">
            <w:pPr>
              <w:spacing w:line="276" w:lineRule="auto"/>
              <w:rPr>
                <w:b/>
              </w:rPr>
            </w:pPr>
          </w:p>
          <w:p w14:paraId="1617D12F" w14:textId="77777777" w:rsidR="00C22CF8" w:rsidRDefault="00C22CF8" w:rsidP="00561BFE">
            <w:pPr>
              <w:spacing w:line="276" w:lineRule="auto"/>
              <w:rPr>
                <w:b/>
              </w:rPr>
            </w:pPr>
            <w:r w:rsidRPr="00C22CF8">
              <w:rPr>
                <w:b/>
              </w:rPr>
              <w:t xml:space="preserve">Improving outcomes through reflective learning and local system partnerships </w:t>
            </w:r>
          </w:p>
          <w:p w14:paraId="2AC0AC43" w14:textId="3681D499" w:rsidR="00C22CF8" w:rsidRPr="004674CF" w:rsidRDefault="00C22CF8" w:rsidP="00561BFE">
            <w:pPr>
              <w:pStyle w:val="ListParagraph"/>
              <w:numPr>
                <w:ilvl w:val="0"/>
                <w:numId w:val="37"/>
              </w:numPr>
              <w:spacing w:line="276" w:lineRule="auto"/>
              <w:rPr>
                <w:rFonts w:cs="Arial"/>
              </w:rPr>
            </w:pPr>
            <w:r w:rsidRPr="004674CF">
              <w:rPr>
                <w:rFonts w:eastAsia="HGSMinchoE"/>
                <w:szCs w:val="24"/>
              </w:rPr>
              <w:t>Working with local system partners, PCNs proactively engage the local community to promote healthier lifestyles, awareness of signs and symptoms and available support.</w:t>
            </w:r>
            <w:r w:rsidR="00087CFA">
              <w:rPr>
                <w:rFonts w:eastAsia="HGSMinchoE"/>
                <w:szCs w:val="24"/>
              </w:rPr>
              <w:t xml:space="preserve"> This includes identifying people at higher risk of developing cancer.</w:t>
            </w:r>
          </w:p>
        </w:tc>
      </w:tr>
      <w:tr w:rsidR="00C22CF8" w14:paraId="2A026C7B" w14:textId="77777777" w:rsidTr="00AA4D31">
        <w:tc>
          <w:tcPr>
            <w:tcW w:w="1129" w:type="dxa"/>
          </w:tcPr>
          <w:p w14:paraId="791FCD3E" w14:textId="77777777" w:rsidR="00C22CF8" w:rsidRDefault="00C22CF8" w:rsidP="00561BFE">
            <w:pPr>
              <w:spacing w:line="276" w:lineRule="auto"/>
              <w:rPr>
                <w:rFonts w:cs="Arial"/>
              </w:rPr>
            </w:pPr>
            <w:r>
              <w:rPr>
                <w:rFonts w:cs="Arial"/>
              </w:rPr>
              <w:t>2023/24</w:t>
            </w:r>
          </w:p>
        </w:tc>
        <w:tc>
          <w:tcPr>
            <w:tcW w:w="7887" w:type="dxa"/>
          </w:tcPr>
          <w:p w14:paraId="5411BACF" w14:textId="77777777" w:rsidR="00C22CF8" w:rsidRPr="00177844" w:rsidRDefault="00C22CF8" w:rsidP="00561BFE">
            <w:pPr>
              <w:spacing w:line="276" w:lineRule="auto"/>
              <w:rPr>
                <w:rFonts w:cs="Arial"/>
                <w:b/>
              </w:rPr>
            </w:pPr>
            <w:r w:rsidRPr="009F0767">
              <w:rPr>
                <w:b/>
              </w:rPr>
              <w:t>Improving referral practice</w:t>
            </w:r>
          </w:p>
          <w:p w14:paraId="473877A2" w14:textId="0EC6F253" w:rsidR="00C22CF8" w:rsidRPr="00A66611" w:rsidRDefault="00087CFA" w:rsidP="00561BFE">
            <w:pPr>
              <w:pStyle w:val="ListParagraph"/>
              <w:numPr>
                <w:ilvl w:val="0"/>
                <w:numId w:val="21"/>
              </w:numPr>
              <w:spacing w:line="276" w:lineRule="auto"/>
              <w:rPr>
                <w:rFonts w:eastAsia="HGSMinchoE"/>
                <w:szCs w:val="24"/>
              </w:rPr>
            </w:pPr>
            <w:r>
              <w:rPr>
                <w:rFonts w:eastAsia="HGSMinchoE"/>
                <w:szCs w:val="24"/>
              </w:rPr>
              <w:lastRenderedPageBreak/>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5C5252EC" w14:textId="3FFF4DAD" w:rsidR="00C22CF8" w:rsidRPr="00A66611" w:rsidRDefault="00C22CF8" w:rsidP="00561BFE">
            <w:pPr>
              <w:pStyle w:val="ListParagraph"/>
              <w:numPr>
                <w:ilvl w:val="0"/>
                <w:numId w:val="21"/>
              </w:numPr>
              <w:spacing w:line="276" w:lineRule="auto"/>
              <w:rPr>
                <w:rFonts w:eastAsia="HGSMinchoE"/>
                <w:szCs w:val="24"/>
              </w:rPr>
            </w:pPr>
            <w:r w:rsidRPr="00A66611">
              <w:rPr>
                <w:rFonts w:eastAsia="HGSMinchoE"/>
                <w:szCs w:val="24"/>
              </w:rPr>
              <w:t xml:space="preserve">All patients are receiving high-quality information about their referral. Those that are deemed to require additional support for their referral are signposted to the </w:t>
            </w:r>
            <w:r w:rsidR="005F2EF0">
              <w:rPr>
                <w:rFonts w:eastAsia="HGSMinchoE"/>
                <w:szCs w:val="24"/>
              </w:rPr>
              <w:t xml:space="preserve">PCN </w:t>
            </w:r>
            <w:r w:rsidRPr="00A66611">
              <w:rPr>
                <w:rFonts w:eastAsia="HGSMinchoE"/>
                <w:szCs w:val="24"/>
              </w:rPr>
              <w:t>social prescribing link worker</w:t>
            </w:r>
            <w:r w:rsidR="005F2EF0">
              <w:rPr>
                <w:rFonts w:eastAsia="HGSMinchoE"/>
                <w:szCs w:val="24"/>
              </w:rPr>
              <w:t>s</w:t>
            </w:r>
            <w:r w:rsidRPr="00A66611">
              <w:rPr>
                <w:rFonts w:eastAsia="HGSMinchoE"/>
                <w:szCs w:val="24"/>
              </w:rPr>
              <w:t>.</w:t>
            </w:r>
          </w:p>
          <w:p w14:paraId="5D44161A" w14:textId="1E1167E2" w:rsidR="00C22CF8" w:rsidRPr="004674CF" w:rsidRDefault="00087CFA" w:rsidP="00561BFE">
            <w:pPr>
              <w:pStyle w:val="ListParagraph"/>
              <w:numPr>
                <w:ilvl w:val="0"/>
                <w:numId w:val="21"/>
              </w:numPr>
              <w:spacing w:line="276" w:lineRule="auto"/>
              <w:rPr>
                <w:rFonts w:eastAsia="HGSMinchoE"/>
                <w:b/>
                <w:szCs w:val="24"/>
              </w:rPr>
            </w:pPr>
            <w:r>
              <w:rPr>
                <w:rFonts w:eastAsia="HGSMinchoE"/>
                <w:szCs w:val="24"/>
              </w:rPr>
              <w:t>Continued implementation of a</w:t>
            </w:r>
            <w:r w:rsidR="00C22CF8" w:rsidRPr="00C22CF8">
              <w:rPr>
                <w:rFonts w:eastAsia="HGSMinchoE"/>
                <w:szCs w:val="24"/>
              </w:rPr>
              <w:t xml:space="preserve"> consistent approach to safety netting</w:t>
            </w:r>
            <w:r>
              <w:rPr>
                <w:rFonts w:eastAsia="HGSMinchoE"/>
                <w:szCs w:val="24"/>
              </w:rPr>
              <w:t xml:space="preserve"> across the PCN, and all people </w:t>
            </w:r>
            <w:r w:rsidR="00C22CF8" w:rsidRPr="00C22CF8">
              <w:rPr>
                <w:rFonts w:eastAsia="HGSMinchoE"/>
                <w:szCs w:val="24"/>
              </w:rPr>
              <w:t xml:space="preserve">with serious but non-specific symptoms into </w:t>
            </w:r>
            <w:r>
              <w:rPr>
                <w:rFonts w:eastAsia="HGSMinchoE"/>
                <w:szCs w:val="24"/>
              </w:rPr>
              <w:t>R</w:t>
            </w:r>
            <w:r w:rsidR="00F460BB">
              <w:rPr>
                <w:rFonts w:eastAsia="HGSMinchoE"/>
                <w:szCs w:val="24"/>
              </w:rPr>
              <w:t xml:space="preserve">apid </w:t>
            </w:r>
            <w:r>
              <w:rPr>
                <w:rFonts w:eastAsia="HGSMinchoE"/>
                <w:szCs w:val="24"/>
              </w:rPr>
              <w:t>D</w:t>
            </w:r>
            <w:r w:rsidR="00F460BB">
              <w:rPr>
                <w:rFonts w:eastAsia="HGSMinchoE"/>
                <w:szCs w:val="24"/>
              </w:rPr>
              <w:t xml:space="preserve">iagnostic </w:t>
            </w:r>
            <w:r>
              <w:rPr>
                <w:rFonts w:eastAsia="HGSMinchoE"/>
                <w:szCs w:val="24"/>
              </w:rPr>
              <w:t>C</w:t>
            </w:r>
            <w:r w:rsidR="00F460BB">
              <w:rPr>
                <w:rFonts w:eastAsia="HGSMinchoE"/>
                <w:szCs w:val="24"/>
              </w:rPr>
              <w:t>entres</w:t>
            </w:r>
            <w:r w:rsidR="00C22CF8" w:rsidRPr="00C22CF8">
              <w:rPr>
                <w:rFonts w:eastAsia="HGSMinchoE"/>
                <w:szCs w:val="24"/>
              </w:rPr>
              <w:t>.</w:t>
            </w:r>
          </w:p>
          <w:p w14:paraId="1810D2A4" w14:textId="77777777" w:rsidR="00C22CF8" w:rsidRPr="00B12953" w:rsidRDefault="00C22CF8" w:rsidP="00561BFE">
            <w:pPr>
              <w:pStyle w:val="ListParagraph"/>
              <w:spacing w:line="276" w:lineRule="auto"/>
              <w:ind w:left="360"/>
              <w:rPr>
                <w:b/>
              </w:rPr>
            </w:pPr>
          </w:p>
          <w:p w14:paraId="586DA655" w14:textId="77777777" w:rsidR="00C22CF8" w:rsidRDefault="00C22CF8" w:rsidP="00561BFE">
            <w:pPr>
              <w:spacing w:line="276" w:lineRule="auto"/>
            </w:pPr>
            <w:r w:rsidRPr="009F0767">
              <w:rPr>
                <w:b/>
              </w:rPr>
              <w:t>Increasing uptake of National Cancer Screening Programmes</w:t>
            </w:r>
            <w:r w:rsidRPr="00C22CF8">
              <w:t xml:space="preserve"> </w:t>
            </w:r>
          </w:p>
          <w:p w14:paraId="0192F309" w14:textId="5CCBF321" w:rsidR="00C22CF8" w:rsidRPr="004674CF" w:rsidRDefault="00F460BB" w:rsidP="00561BFE">
            <w:pPr>
              <w:pStyle w:val="ListParagraph"/>
              <w:numPr>
                <w:ilvl w:val="0"/>
                <w:numId w:val="38"/>
              </w:numPr>
              <w:spacing w:line="276" w:lineRule="auto"/>
              <w:rPr>
                <w:rFonts w:eastAsia="HGSMinchoE"/>
                <w:b/>
                <w:szCs w:val="24"/>
              </w:rPr>
            </w:pPr>
            <w:r w:rsidRPr="00F460BB">
              <w:rPr>
                <w:rFonts w:eastAsia="HGSMinchoE"/>
                <w:szCs w:val="24"/>
              </w:rPr>
              <w:t xml:space="preserve">Subject to success of pilots, Targeted Lung Health Checks are scheduled for national roll out. </w:t>
            </w:r>
            <w:r w:rsidR="005F2EF0">
              <w:rPr>
                <w:rFonts w:eastAsia="HGSMinchoE"/>
                <w:szCs w:val="24"/>
              </w:rPr>
              <w:t>PCNs</w:t>
            </w:r>
            <w:r w:rsidRPr="00F460BB">
              <w:rPr>
                <w:rFonts w:eastAsia="HGSMinchoE"/>
                <w:szCs w:val="24"/>
              </w:rPr>
              <w:t xml:space="preserve"> should help practices to encourage participation in the programme for those who could benefit.</w:t>
            </w:r>
          </w:p>
          <w:p w14:paraId="7D823FD0" w14:textId="77777777" w:rsidR="00F460BB" w:rsidRPr="00B12953" w:rsidRDefault="00F460BB" w:rsidP="00561BFE">
            <w:pPr>
              <w:pStyle w:val="ListParagraph"/>
              <w:spacing w:line="276" w:lineRule="auto"/>
              <w:ind w:left="360"/>
              <w:rPr>
                <w:b/>
              </w:rPr>
            </w:pPr>
          </w:p>
          <w:p w14:paraId="08D6FA77" w14:textId="77777777" w:rsidR="00C22CF8" w:rsidRDefault="00C22CF8" w:rsidP="00561BFE">
            <w:pPr>
              <w:spacing w:line="276" w:lineRule="auto"/>
              <w:rPr>
                <w:b/>
              </w:rPr>
            </w:pPr>
            <w:r w:rsidRPr="00C22CF8">
              <w:rPr>
                <w:b/>
              </w:rPr>
              <w:t xml:space="preserve">Improving outcomes through reflective learning and local system partnerships </w:t>
            </w:r>
          </w:p>
          <w:p w14:paraId="3A535576" w14:textId="1CCB1562" w:rsidR="00C22CF8" w:rsidRPr="004674CF" w:rsidRDefault="00F460BB" w:rsidP="00561BFE">
            <w:pPr>
              <w:pStyle w:val="ListParagraph"/>
              <w:numPr>
                <w:ilvl w:val="0"/>
                <w:numId w:val="38"/>
              </w:numPr>
              <w:spacing w:line="276" w:lineRule="auto"/>
              <w:rPr>
                <w:rFonts w:cs="Arial"/>
              </w:rPr>
            </w:pPr>
            <w:r w:rsidRPr="004674CF">
              <w:rPr>
                <w:rFonts w:eastAsia="HGSMinchoE"/>
                <w:szCs w:val="24"/>
              </w:rPr>
              <w:t>Working with local system partners, proactively engage the local community to promote healthier lifestyles, awareness of signs and symptoms and availability of support.</w:t>
            </w:r>
            <w:r w:rsidR="00087CFA">
              <w:rPr>
                <w:rFonts w:eastAsia="HGSMinchoE"/>
                <w:szCs w:val="24"/>
              </w:rPr>
              <w:t xml:space="preserve"> This includes identifying people at higher risk of developing cancer.</w:t>
            </w:r>
          </w:p>
        </w:tc>
      </w:tr>
    </w:tbl>
    <w:p w14:paraId="3A0871A4" w14:textId="77777777" w:rsidR="00177844" w:rsidRDefault="00177844" w:rsidP="00561BFE">
      <w:pPr>
        <w:spacing w:after="0" w:line="276" w:lineRule="auto"/>
        <w:rPr>
          <w:b/>
        </w:rPr>
      </w:pPr>
    </w:p>
    <w:p w14:paraId="70FC7AF0" w14:textId="05BD1130" w:rsidR="004B2E1F" w:rsidRDefault="00793A10" w:rsidP="00561BFE">
      <w:pPr>
        <w:spacing w:after="0" w:line="276" w:lineRule="auto"/>
        <w:rPr>
          <w:b/>
        </w:rPr>
      </w:pPr>
      <w:r>
        <w:rPr>
          <w:b/>
        </w:rPr>
        <w:t xml:space="preserve">Proposed service requirements for </w:t>
      </w:r>
      <w:r w:rsidR="00C1247B" w:rsidRPr="00C1247B">
        <w:rPr>
          <w:b/>
        </w:rPr>
        <w:t xml:space="preserve">2020/21 </w:t>
      </w:r>
    </w:p>
    <w:p w14:paraId="41491E94" w14:textId="77777777" w:rsidR="00561BFE" w:rsidRDefault="00561BFE" w:rsidP="00561BFE">
      <w:pPr>
        <w:spacing w:after="0" w:line="276" w:lineRule="auto"/>
        <w:rPr>
          <w:b/>
        </w:rPr>
      </w:pPr>
    </w:p>
    <w:p w14:paraId="21054BA4" w14:textId="77777777" w:rsidR="00F460BB" w:rsidRDefault="00F460BB" w:rsidP="00561BFE">
      <w:pPr>
        <w:pStyle w:val="ListParagraph"/>
        <w:numPr>
          <w:ilvl w:val="1"/>
          <w:numId w:val="43"/>
        </w:numPr>
        <w:spacing w:line="276" w:lineRule="auto"/>
      </w:pPr>
      <w:r>
        <w:t>From April 2020, practices working as part of PCNs will:</w:t>
      </w:r>
    </w:p>
    <w:p w14:paraId="63338F31" w14:textId="77777777" w:rsidR="00F460BB" w:rsidRDefault="00F460BB" w:rsidP="00561BFE">
      <w:pPr>
        <w:pStyle w:val="ListParagraph"/>
        <w:spacing w:line="276" w:lineRule="auto"/>
      </w:pPr>
    </w:p>
    <w:p w14:paraId="234B211E" w14:textId="77777777" w:rsidR="000C6C5B" w:rsidRDefault="000C6C5B" w:rsidP="000C6C5B">
      <w:pPr>
        <w:pStyle w:val="ListParagraph"/>
        <w:numPr>
          <w:ilvl w:val="0"/>
          <w:numId w:val="9"/>
        </w:numPr>
        <w:spacing w:line="276" w:lineRule="auto"/>
      </w:pPr>
      <w:r>
        <w:t>identify a clinical lead who will be responsible across the PCN for the delivery of the service requirements in this section.</w:t>
      </w:r>
    </w:p>
    <w:p w14:paraId="6D103EEE" w14:textId="77777777" w:rsidR="000C6C5B" w:rsidRDefault="000C6C5B" w:rsidP="00145C54">
      <w:pPr>
        <w:pStyle w:val="ListParagraph"/>
        <w:spacing w:line="276" w:lineRule="auto"/>
      </w:pPr>
    </w:p>
    <w:p w14:paraId="4C0948FB" w14:textId="4D8FDFF9" w:rsidR="004B2E1F" w:rsidRDefault="000C6C5B" w:rsidP="00561BFE">
      <w:pPr>
        <w:pStyle w:val="ListParagraph"/>
        <w:numPr>
          <w:ilvl w:val="0"/>
          <w:numId w:val="9"/>
        </w:numPr>
        <w:spacing w:line="276" w:lineRule="auto"/>
      </w:pPr>
      <w:r>
        <w:t>i</w:t>
      </w:r>
      <w:r w:rsidR="004B2E1F">
        <w:t xml:space="preserve">mprove referral </w:t>
      </w:r>
      <w:r w:rsidR="002D6C93">
        <w:t>practice</w:t>
      </w:r>
      <w:r w:rsidR="00087CFA">
        <w:t xml:space="preserve"> for suspected cancers, including recurrent cancers</w:t>
      </w:r>
      <w:r w:rsidR="004B2E1F">
        <w:t>. This will be done by:</w:t>
      </w:r>
    </w:p>
    <w:p w14:paraId="71C8C233" w14:textId="77777777" w:rsidR="00561BFE" w:rsidRDefault="00561BFE" w:rsidP="00561BFE">
      <w:pPr>
        <w:pStyle w:val="ListParagraph"/>
        <w:spacing w:line="276" w:lineRule="auto"/>
      </w:pPr>
    </w:p>
    <w:p w14:paraId="659FE128" w14:textId="26FFCCA5" w:rsidR="00087CFA" w:rsidRDefault="000C6C5B" w:rsidP="00561BFE">
      <w:pPr>
        <w:pStyle w:val="ListParagraph"/>
        <w:numPr>
          <w:ilvl w:val="0"/>
          <w:numId w:val="56"/>
        </w:numPr>
        <w:spacing w:line="276" w:lineRule="auto"/>
        <w:ind w:left="1080"/>
        <w:rPr>
          <w:rFonts w:eastAsia="HGSMinchoE"/>
          <w:szCs w:val="24"/>
        </w:rPr>
      </w:pPr>
      <w:r>
        <w:rPr>
          <w:rFonts w:eastAsia="HGSMinchoE"/>
          <w:szCs w:val="24"/>
        </w:rPr>
        <w:t>u</w:t>
      </w:r>
      <w:r w:rsidR="00087CFA" w:rsidRPr="00FE7419">
        <w:rPr>
          <w:rFonts w:eastAsia="HGSMinchoE"/>
          <w:szCs w:val="24"/>
        </w:rPr>
        <w:t>sing local data including practice level data to explore local patterns in presentation and diagnosis of cancer.</w:t>
      </w:r>
    </w:p>
    <w:p w14:paraId="49CA2C7F" w14:textId="77777777" w:rsidR="00561BFE" w:rsidRDefault="00561BFE" w:rsidP="00561BFE">
      <w:pPr>
        <w:pStyle w:val="ListParagraph"/>
        <w:spacing w:line="276" w:lineRule="auto"/>
        <w:ind w:left="1080"/>
        <w:rPr>
          <w:rFonts w:eastAsia="HGSMinchoE"/>
          <w:szCs w:val="24"/>
        </w:rPr>
      </w:pPr>
    </w:p>
    <w:p w14:paraId="418DA209" w14:textId="330BB766" w:rsidR="00087CFA" w:rsidRDefault="000C6C5B" w:rsidP="00561BFE">
      <w:pPr>
        <w:pStyle w:val="ListParagraph"/>
        <w:numPr>
          <w:ilvl w:val="0"/>
          <w:numId w:val="56"/>
        </w:numPr>
        <w:spacing w:line="276" w:lineRule="auto"/>
        <w:ind w:left="1080"/>
        <w:rPr>
          <w:rFonts w:eastAsia="HGSMinchoE"/>
          <w:szCs w:val="24"/>
        </w:rPr>
      </w:pPr>
      <w:r>
        <w:rPr>
          <w:rFonts w:eastAsia="HGSMinchoE"/>
          <w:szCs w:val="24"/>
        </w:rPr>
        <w:t>e</w:t>
      </w:r>
      <w:r w:rsidR="00087CFA" w:rsidRPr="00A66611">
        <w:rPr>
          <w:rFonts w:eastAsia="HGSMinchoE"/>
          <w:szCs w:val="24"/>
        </w:rPr>
        <w:t>nabl</w:t>
      </w:r>
      <w:r w:rsidR="00087CFA">
        <w:rPr>
          <w:rFonts w:eastAsia="HGSMinchoE"/>
          <w:szCs w:val="24"/>
        </w:rPr>
        <w:t>ing</w:t>
      </w:r>
      <w:r w:rsidR="00087CFA" w:rsidRPr="00A66611">
        <w:rPr>
          <w:rFonts w:eastAsia="HGSMinchoE"/>
          <w:szCs w:val="24"/>
        </w:rPr>
        <w:t xml:space="preserve"> and support</w:t>
      </w:r>
      <w:r w:rsidR="00087CFA">
        <w:rPr>
          <w:rFonts w:eastAsia="HGSMinchoE"/>
          <w:szCs w:val="24"/>
        </w:rPr>
        <w:t>ing</w:t>
      </w:r>
      <w:r w:rsidR="00087CFA" w:rsidRPr="00A66611">
        <w:rPr>
          <w:rFonts w:eastAsia="HGSMinchoE"/>
          <w:szCs w:val="24"/>
        </w:rPr>
        <w:t xml:space="preserve"> practices to improve the quality of their referrals for suspected cancer, in line with NICE guidance and making use of </w:t>
      </w:r>
      <w:r w:rsidR="00087CFA">
        <w:rPr>
          <w:rFonts w:eastAsia="HGSMinchoE"/>
          <w:szCs w:val="24"/>
        </w:rPr>
        <w:t xml:space="preserve">Clinical Decision Support Tools and the </w:t>
      </w:r>
      <w:r w:rsidR="00087CFA" w:rsidRPr="00A66611">
        <w:rPr>
          <w:rFonts w:eastAsia="HGSMinchoE"/>
          <w:szCs w:val="24"/>
        </w:rPr>
        <w:t>new RDC pathway for people with serious but non-specific symptoms where available</w:t>
      </w:r>
      <w:r w:rsidR="00087CFA">
        <w:rPr>
          <w:rFonts w:eastAsia="HGSMinchoE"/>
          <w:szCs w:val="24"/>
        </w:rPr>
        <w:t>.</w:t>
      </w:r>
    </w:p>
    <w:p w14:paraId="37B8EDBE" w14:textId="77777777" w:rsidR="00561BFE" w:rsidRPr="00561BFE" w:rsidRDefault="00561BFE" w:rsidP="00561BFE">
      <w:pPr>
        <w:spacing w:line="276" w:lineRule="auto"/>
        <w:rPr>
          <w:rFonts w:eastAsia="HGSMinchoE"/>
          <w:szCs w:val="24"/>
        </w:rPr>
      </w:pPr>
    </w:p>
    <w:p w14:paraId="718DF953" w14:textId="60463F76" w:rsidR="00087CFA" w:rsidRPr="00FE7419" w:rsidRDefault="000C6C5B" w:rsidP="00561BFE">
      <w:pPr>
        <w:pStyle w:val="ListParagraph"/>
        <w:numPr>
          <w:ilvl w:val="0"/>
          <w:numId w:val="56"/>
        </w:numPr>
        <w:spacing w:line="276" w:lineRule="auto"/>
        <w:ind w:left="1080"/>
        <w:rPr>
          <w:rFonts w:eastAsia="HGSMinchoE"/>
          <w:szCs w:val="24"/>
        </w:rPr>
      </w:pPr>
      <w:r>
        <w:rPr>
          <w:rFonts w:eastAsia="HGSMinchoE"/>
          <w:szCs w:val="24"/>
        </w:rPr>
        <w:t>i</w:t>
      </w:r>
      <w:r w:rsidR="00087CFA" w:rsidRPr="00FE7419">
        <w:rPr>
          <w:rFonts w:eastAsia="HGSMinchoE"/>
          <w:szCs w:val="24"/>
        </w:rPr>
        <w:t>ntroduc</w:t>
      </w:r>
      <w:r w:rsidR="00087CFA">
        <w:rPr>
          <w:rFonts w:eastAsia="HGSMinchoE"/>
          <w:szCs w:val="24"/>
        </w:rPr>
        <w:t>ing</w:t>
      </w:r>
      <w:r w:rsidR="00087CFA" w:rsidRPr="00FE7419">
        <w:rPr>
          <w:rFonts w:eastAsia="HGSMinchoE"/>
          <w:szCs w:val="24"/>
        </w:rPr>
        <w:t xml:space="preserve"> a consistent approach to monitoring patients who have been referred urgently with suspected cancer or for further investigations </w:t>
      </w:r>
      <w:r w:rsidR="00087CFA" w:rsidRPr="00FE7419">
        <w:rPr>
          <w:rFonts w:eastAsia="HGSMinchoE"/>
          <w:szCs w:val="24"/>
        </w:rPr>
        <w:lastRenderedPageBreak/>
        <w:t>undertaken to exclude the possibility of cancer (‘safety netting’) in line with NICE Guideline 12. This should build on relevant approaches already in place in constituent practices and drawing on evidence.</w:t>
      </w:r>
      <w:r w:rsidR="00087CFA">
        <w:rPr>
          <w:rFonts w:eastAsia="HGSMinchoE"/>
          <w:szCs w:val="24"/>
        </w:rPr>
        <w:t xml:space="preserve"> </w:t>
      </w:r>
    </w:p>
    <w:p w14:paraId="2F9CF843" w14:textId="77777777" w:rsidR="00561BFE" w:rsidRDefault="00561BFE" w:rsidP="00561BFE">
      <w:pPr>
        <w:pStyle w:val="ListParagraph"/>
        <w:spacing w:line="276" w:lineRule="auto"/>
        <w:ind w:left="1080"/>
        <w:rPr>
          <w:rFonts w:eastAsia="HGSMinchoE"/>
          <w:szCs w:val="24"/>
        </w:rPr>
      </w:pPr>
    </w:p>
    <w:p w14:paraId="6EA2DEFC" w14:textId="76FC382A" w:rsidR="00087CFA" w:rsidRPr="00FE7419" w:rsidRDefault="000C6C5B" w:rsidP="00561BFE">
      <w:pPr>
        <w:pStyle w:val="ListParagraph"/>
        <w:numPr>
          <w:ilvl w:val="0"/>
          <w:numId w:val="56"/>
        </w:numPr>
        <w:spacing w:line="276" w:lineRule="auto"/>
        <w:ind w:left="1080"/>
        <w:rPr>
          <w:rFonts w:eastAsia="HGSMinchoE"/>
          <w:szCs w:val="24"/>
        </w:rPr>
      </w:pPr>
      <w:r>
        <w:rPr>
          <w:rFonts w:eastAsia="HGSMinchoE"/>
          <w:szCs w:val="24"/>
        </w:rPr>
        <w:t>e</w:t>
      </w:r>
      <w:r w:rsidR="00087CFA" w:rsidRPr="00FE7419">
        <w:rPr>
          <w:rFonts w:eastAsia="HGSMinchoE"/>
          <w:szCs w:val="24"/>
        </w:rPr>
        <w:t>nsuring that patients receive high-quality information on their referral including why they are being referred, the importance of attending appointments and where they can access further support.</w:t>
      </w:r>
    </w:p>
    <w:p w14:paraId="6E00E72C" w14:textId="77777777" w:rsidR="004B2E1F" w:rsidRDefault="004B2E1F" w:rsidP="00561BFE">
      <w:pPr>
        <w:pStyle w:val="ListParagraph"/>
        <w:spacing w:line="276" w:lineRule="auto"/>
        <w:ind w:left="2520"/>
      </w:pPr>
    </w:p>
    <w:p w14:paraId="33B16691" w14:textId="6DD30685" w:rsidR="004B2E1F" w:rsidRDefault="000C6C5B" w:rsidP="00561BFE">
      <w:pPr>
        <w:pStyle w:val="ListParagraph"/>
        <w:numPr>
          <w:ilvl w:val="0"/>
          <w:numId w:val="10"/>
        </w:numPr>
        <w:spacing w:line="276" w:lineRule="auto"/>
      </w:pPr>
      <w:r>
        <w:t>i</w:t>
      </w:r>
      <w:r w:rsidR="002D6C93">
        <w:t>ncreas</w:t>
      </w:r>
      <w:r w:rsidR="00F460BB">
        <w:t>e</w:t>
      </w:r>
      <w:r w:rsidR="002D6C93">
        <w:t xml:space="preserve"> uptake of</w:t>
      </w:r>
      <w:r w:rsidR="004B2E1F">
        <w:t xml:space="preserve"> National Cancer Screening Programmes. This will be done by:</w:t>
      </w:r>
    </w:p>
    <w:p w14:paraId="24F8095E" w14:textId="77777777" w:rsidR="00561BFE" w:rsidRDefault="00561BFE" w:rsidP="00561BFE">
      <w:pPr>
        <w:pStyle w:val="ListParagraph"/>
        <w:spacing w:line="276" w:lineRule="auto"/>
      </w:pPr>
    </w:p>
    <w:p w14:paraId="37B88B96" w14:textId="39211D6B" w:rsidR="004B2E1F" w:rsidRDefault="000C6C5B" w:rsidP="00561BFE">
      <w:pPr>
        <w:pStyle w:val="ListParagraph"/>
        <w:numPr>
          <w:ilvl w:val="1"/>
          <w:numId w:val="10"/>
        </w:numPr>
        <w:spacing w:line="276" w:lineRule="auto"/>
        <w:ind w:left="1080"/>
      </w:pPr>
      <w:r>
        <w:t>l</w:t>
      </w:r>
      <w:r w:rsidR="004B2E1F">
        <w:t>eading and coordinating constituent practices’ contribution to a local screening uptake improvement plan, working with</w:t>
      </w:r>
      <w:r w:rsidR="004B2E1F" w:rsidRPr="00183377">
        <w:t xml:space="preserve"> </w:t>
      </w:r>
      <w:r w:rsidR="004B2E1F" w:rsidRPr="004175A5">
        <w:t xml:space="preserve">the </w:t>
      </w:r>
      <w:r w:rsidR="004B2E1F">
        <w:t xml:space="preserve">local </w:t>
      </w:r>
      <w:r w:rsidR="004B2E1F" w:rsidRPr="004175A5">
        <w:t xml:space="preserve">Public </w:t>
      </w:r>
      <w:r w:rsidR="004B2E1F">
        <w:t>H</w:t>
      </w:r>
      <w:r w:rsidR="004B2E1F" w:rsidRPr="004175A5">
        <w:t xml:space="preserve">ealth Commissioning team </w:t>
      </w:r>
      <w:r w:rsidR="004B2E1F">
        <w:t>and</w:t>
      </w:r>
      <w:r w:rsidR="004B2E1F" w:rsidRPr="004175A5">
        <w:t xml:space="preserve"> </w:t>
      </w:r>
      <w:r w:rsidR="004B2E1F">
        <w:t>C</w:t>
      </w:r>
      <w:r w:rsidR="004B2E1F" w:rsidRPr="004175A5">
        <w:t xml:space="preserve">ancer </w:t>
      </w:r>
      <w:r w:rsidR="004B2E1F">
        <w:t>A</w:t>
      </w:r>
      <w:r w:rsidR="004B2E1F" w:rsidRPr="004175A5">
        <w:t>lliance</w:t>
      </w:r>
      <w:r w:rsidR="004B2E1F">
        <w:t xml:space="preserve">. </w:t>
      </w:r>
      <w:r w:rsidR="005F2EF0">
        <w:t>PCNs</w:t>
      </w:r>
      <w:r w:rsidR="004B2E1F">
        <w:t xml:space="preserve"> should identify actions relevant for their </w:t>
      </w:r>
      <w:proofErr w:type="gramStart"/>
      <w:r w:rsidR="004B2E1F">
        <w:t>particular populations</w:t>
      </w:r>
      <w:proofErr w:type="gramEnd"/>
      <w:r w:rsidR="004B2E1F">
        <w:t xml:space="preserve"> that they will</w:t>
      </w:r>
      <w:r w:rsidR="004B2E1F" w:rsidRPr="004175A5">
        <w:t xml:space="preserve"> take</w:t>
      </w:r>
      <w:r w:rsidR="004B2E1F">
        <w:t xml:space="preserve"> forward.</w:t>
      </w:r>
    </w:p>
    <w:p w14:paraId="4EA32D8C" w14:textId="77777777" w:rsidR="00561BFE" w:rsidRDefault="00561BFE" w:rsidP="00561BFE">
      <w:pPr>
        <w:pStyle w:val="ListParagraph"/>
        <w:spacing w:line="276" w:lineRule="auto"/>
        <w:ind w:left="1080"/>
      </w:pPr>
    </w:p>
    <w:p w14:paraId="72EF7037" w14:textId="2C92AE33" w:rsidR="00087CFA" w:rsidRPr="00561BFE" w:rsidRDefault="000C6C5B" w:rsidP="00561BFE">
      <w:pPr>
        <w:pStyle w:val="ListParagraph"/>
        <w:numPr>
          <w:ilvl w:val="1"/>
          <w:numId w:val="10"/>
        </w:numPr>
        <w:spacing w:line="276" w:lineRule="auto"/>
        <w:ind w:left="1080"/>
      </w:pPr>
      <w:r>
        <w:rPr>
          <w:rFonts w:eastAsia="HGSMinchoE"/>
          <w:szCs w:val="24"/>
        </w:rPr>
        <w:t>b</w:t>
      </w:r>
      <w:r w:rsidR="00087CFA" w:rsidRPr="00FE7419">
        <w:rPr>
          <w:rFonts w:eastAsia="HGSMinchoE"/>
          <w:szCs w:val="24"/>
        </w:rPr>
        <w:t>uilding on actions already underway across practices</w:t>
      </w:r>
      <w:r w:rsidR="00087CFA">
        <w:rPr>
          <w:rFonts w:eastAsia="HGSMinchoE"/>
          <w:szCs w:val="24"/>
        </w:rPr>
        <w:t xml:space="preserve"> to</w:t>
      </w:r>
      <w:r w:rsidR="00087CFA" w:rsidRPr="00FE7419">
        <w:rPr>
          <w:rFonts w:eastAsia="HGSMinchoE"/>
          <w:szCs w:val="24"/>
        </w:rPr>
        <w:t xml:space="preserve"> agree and deliver with practices any 2020/21 improvement activity identified.</w:t>
      </w:r>
    </w:p>
    <w:p w14:paraId="48A516A4" w14:textId="77777777" w:rsidR="00561BFE" w:rsidRPr="00FE7419" w:rsidRDefault="00561BFE" w:rsidP="00561BFE">
      <w:pPr>
        <w:spacing w:line="276" w:lineRule="auto"/>
      </w:pPr>
    </w:p>
    <w:p w14:paraId="2CA573E4" w14:textId="149CD175" w:rsidR="00561BFE" w:rsidRDefault="000C6C5B" w:rsidP="00561BFE">
      <w:pPr>
        <w:pStyle w:val="ListParagraph"/>
        <w:numPr>
          <w:ilvl w:val="1"/>
          <w:numId w:val="10"/>
        </w:numPr>
        <w:spacing w:line="276" w:lineRule="auto"/>
        <w:ind w:left="1080"/>
        <w:rPr>
          <w:rFonts w:eastAsia="HGSMinchoE"/>
          <w:szCs w:val="24"/>
        </w:rPr>
      </w:pPr>
      <w:r>
        <w:rPr>
          <w:rFonts w:eastAsia="HGSMinchoE"/>
          <w:szCs w:val="24"/>
        </w:rPr>
        <w:t>s</w:t>
      </w:r>
      <w:r w:rsidR="00087CFA" w:rsidRPr="00FE7419">
        <w:rPr>
          <w:rFonts w:eastAsia="HGSMinchoE"/>
          <w:szCs w:val="24"/>
        </w:rPr>
        <w:t xml:space="preserve">tandardising processes across the </w:t>
      </w:r>
      <w:r w:rsidR="005F2EF0">
        <w:rPr>
          <w:rFonts w:eastAsia="HGSMinchoE"/>
          <w:szCs w:val="24"/>
        </w:rPr>
        <w:t>PCN</w:t>
      </w:r>
      <w:r w:rsidR="00087CFA" w:rsidRPr="00FE7419">
        <w:rPr>
          <w:rFonts w:eastAsia="HGSMinchoE"/>
          <w:szCs w:val="24"/>
        </w:rPr>
        <w:t xml:space="preserve"> to encourage the uptake of National Cancer Screening Programmes</w:t>
      </w:r>
      <w:r w:rsidR="00087CFA">
        <w:rPr>
          <w:rFonts w:eastAsia="HGSMinchoE"/>
          <w:szCs w:val="24"/>
        </w:rPr>
        <w:t>.</w:t>
      </w:r>
    </w:p>
    <w:p w14:paraId="625BC021" w14:textId="77777777" w:rsidR="00561BFE" w:rsidRPr="00561BFE" w:rsidRDefault="00561BFE" w:rsidP="00561BFE">
      <w:pPr>
        <w:pStyle w:val="ListParagraph"/>
        <w:rPr>
          <w:rFonts w:eastAsia="HGSMinchoE"/>
          <w:szCs w:val="24"/>
        </w:rPr>
      </w:pPr>
    </w:p>
    <w:p w14:paraId="6A1907F8" w14:textId="57CA066E" w:rsidR="004B2E1F" w:rsidRPr="00561BFE" w:rsidRDefault="000C6C5B" w:rsidP="00561BFE">
      <w:pPr>
        <w:pStyle w:val="ListParagraph"/>
        <w:numPr>
          <w:ilvl w:val="1"/>
          <w:numId w:val="10"/>
        </w:numPr>
        <w:spacing w:line="276" w:lineRule="auto"/>
        <w:ind w:left="1080"/>
        <w:rPr>
          <w:rFonts w:eastAsia="HGSMinchoE"/>
          <w:szCs w:val="24"/>
        </w:rPr>
      </w:pPr>
      <w:r>
        <w:rPr>
          <w:rFonts w:eastAsia="HGSMinchoE"/>
          <w:szCs w:val="24"/>
        </w:rPr>
        <w:t>w</w:t>
      </w:r>
      <w:r w:rsidR="00087CFA" w:rsidRPr="00561BFE">
        <w:rPr>
          <w:rFonts w:eastAsia="HGSMinchoE"/>
          <w:szCs w:val="24"/>
        </w:rPr>
        <w:t xml:space="preserve">orking with local system partners to agree a 2021/22 Network-level action plan for improving uptake of cancer screening programmes across the </w:t>
      </w:r>
      <w:r w:rsidR="005F2EF0" w:rsidRPr="00561BFE">
        <w:rPr>
          <w:rFonts w:eastAsia="HGSMinchoE"/>
          <w:szCs w:val="24"/>
        </w:rPr>
        <w:t>PCN</w:t>
      </w:r>
      <w:r w:rsidR="00087CFA" w:rsidRPr="00561BFE">
        <w:rPr>
          <w:rFonts w:eastAsia="HGSMinchoE"/>
          <w:szCs w:val="24"/>
        </w:rPr>
        <w:t xml:space="preserve">. </w:t>
      </w:r>
    </w:p>
    <w:p w14:paraId="18EA94AD" w14:textId="77777777" w:rsidR="009A73C3" w:rsidRDefault="009A73C3" w:rsidP="00561BFE">
      <w:pPr>
        <w:pStyle w:val="ListParagraph"/>
        <w:spacing w:line="276" w:lineRule="auto"/>
        <w:ind w:left="1440"/>
      </w:pPr>
    </w:p>
    <w:p w14:paraId="5D53AA21" w14:textId="56E84A53" w:rsidR="004B2E1F" w:rsidRDefault="000C6C5B" w:rsidP="00561BFE">
      <w:pPr>
        <w:pStyle w:val="ListParagraph"/>
        <w:numPr>
          <w:ilvl w:val="0"/>
          <w:numId w:val="9"/>
        </w:numPr>
        <w:spacing w:line="276" w:lineRule="auto"/>
      </w:pPr>
      <w:r>
        <w:t>i</w:t>
      </w:r>
      <w:r w:rsidR="004B2E1F">
        <w:t>mprove outcomes through reflective learning and local system partnerships. This will be done by:</w:t>
      </w:r>
    </w:p>
    <w:p w14:paraId="7787BF6E" w14:textId="77777777" w:rsidR="00561BFE" w:rsidRDefault="00561BFE" w:rsidP="00561BFE">
      <w:pPr>
        <w:pStyle w:val="ListParagraph"/>
        <w:spacing w:line="276" w:lineRule="auto"/>
      </w:pPr>
    </w:p>
    <w:p w14:paraId="5F4E23A1" w14:textId="5F7AEA41" w:rsidR="00087CFA" w:rsidRDefault="000C6C5B" w:rsidP="00561BFE">
      <w:pPr>
        <w:pStyle w:val="ListParagraph"/>
        <w:numPr>
          <w:ilvl w:val="0"/>
          <w:numId w:val="58"/>
        </w:numPr>
        <w:spacing w:line="276" w:lineRule="auto"/>
        <w:rPr>
          <w:rFonts w:eastAsia="HGSMinchoE"/>
          <w:szCs w:val="24"/>
        </w:rPr>
      </w:pPr>
      <w:r>
        <w:rPr>
          <w:rFonts w:eastAsia="HGSMinchoE"/>
          <w:szCs w:val="24"/>
        </w:rPr>
        <w:t>d</w:t>
      </w:r>
      <w:r w:rsidR="00087CFA" w:rsidRPr="00FE7419">
        <w:rPr>
          <w:rFonts w:eastAsia="HGSMinchoE"/>
          <w:szCs w:val="24"/>
        </w:rPr>
        <w:t>eveloping</w:t>
      </w:r>
      <w:r w:rsidR="00087CFA">
        <w:rPr>
          <w:rFonts w:eastAsia="HGSMinchoE"/>
          <w:szCs w:val="24"/>
        </w:rPr>
        <w:t xml:space="preserve"> </w:t>
      </w:r>
      <w:r w:rsidR="00087CFA" w:rsidRPr="00FE7419">
        <w:rPr>
          <w:rFonts w:eastAsia="HGSMinchoE"/>
          <w:szCs w:val="24"/>
        </w:rPr>
        <w:t xml:space="preserve">a community of practice </w:t>
      </w:r>
      <w:r w:rsidR="00087CFA">
        <w:rPr>
          <w:rFonts w:eastAsia="HGSMinchoE"/>
          <w:szCs w:val="24"/>
        </w:rPr>
        <w:t>among</w:t>
      </w:r>
      <w:r w:rsidR="00087CFA" w:rsidRPr="00FE7419">
        <w:rPr>
          <w:rFonts w:eastAsia="HGSMinchoE"/>
          <w:szCs w:val="24"/>
        </w:rPr>
        <w:t xml:space="preserve"> practice level clinical staff that </w:t>
      </w:r>
      <w:r w:rsidR="00087CFA">
        <w:rPr>
          <w:rFonts w:eastAsia="HGSMinchoE"/>
          <w:szCs w:val="24"/>
        </w:rPr>
        <w:t>will inform</w:t>
      </w:r>
      <w:r w:rsidR="00087CFA" w:rsidRPr="00FE7419">
        <w:rPr>
          <w:rFonts w:eastAsia="HGSMinchoE"/>
          <w:szCs w:val="24"/>
        </w:rPr>
        <w:t xml:space="preserve"> Network-level improvement action plans</w:t>
      </w:r>
    </w:p>
    <w:p w14:paraId="64CF6259" w14:textId="77777777" w:rsidR="00561BFE" w:rsidRPr="00FE7419" w:rsidRDefault="00561BFE" w:rsidP="00561BFE">
      <w:pPr>
        <w:pStyle w:val="ListParagraph"/>
        <w:spacing w:line="276" w:lineRule="auto"/>
        <w:ind w:left="1080"/>
        <w:rPr>
          <w:rFonts w:eastAsia="HGSMinchoE"/>
          <w:szCs w:val="24"/>
        </w:rPr>
      </w:pPr>
    </w:p>
    <w:p w14:paraId="53B9C914" w14:textId="18DE4A5E" w:rsidR="00087CFA" w:rsidRDefault="000C6C5B" w:rsidP="00561BFE">
      <w:pPr>
        <w:pStyle w:val="ListParagraph"/>
        <w:numPr>
          <w:ilvl w:val="0"/>
          <w:numId w:val="58"/>
        </w:numPr>
        <w:spacing w:line="276" w:lineRule="auto"/>
        <w:rPr>
          <w:rFonts w:eastAsia="HGSMinchoE"/>
          <w:szCs w:val="24"/>
        </w:rPr>
      </w:pPr>
      <w:r>
        <w:rPr>
          <w:rFonts w:eastAsia="HGSMinchoE"/>
          <w:szCs w:val="24"/>
        </w:rPr>
        <w:t>i</w:t>
      </w:r>
      <w:r w:rsidR="00087CFA" w:rsidRPr="00FE7419">
        <w:rPr>
          <w:rFonts w:eastAsia="HGSMinchoE"/>
          <w:szCs w:val="24"/>
        </w:rPr>
        <w:t xml:space="preserve">nvestigating historic </w:t>
      </w:r>
      <w:r w:rsidR="00087CFA">
        <w:rPr>
          <w:rFonts w:eastAsia="HGSMinchoE"/>
          <w:szCs w:val="24"/>
        </w:rPr>
        <w:t xml:space="preserve">referral </w:t>
      </w:r>
      <w:r w:rsidR="00087CFA" w:rsidRPr="00FE7419">
        <w:rPr>
          <w:rFonts w:eastAsia="HGSMinchoE"/>
          <w:szCs w:val="24"/>
        </w:rPr>
        <w:t>diagnosis data to identify trends and opportunities for proactive work across the PCN</w:t>
      </w:r>
      <w:r w:rsidR="00087CFA">
        <w:rPr>
          <w:rFonts w:eastAsia="HGSMinchoE"/>
          <w:szCs w:val="24"/>
        </w:rPr>
        <w:t xml:space="preserve"> to improve referrals and early diagnosis,</w:t>
      </w:r>
      <w:r w:rsidR="00087CFA" w:rsidRPr="00FE7419">
        <w:rPr>
          <w:rFonts w:eastAsia="HGSMinchoE"/>
          <w:szCs w:val="24"/>
        </w:rPr>
        <w:t xml:space="preserve"> and </w:t>
      </w:r>
      <w:r w:rsidR="00087CFA">
        <w:rPr>
          <w:rFonts w:eastAsia="HGSMinchoE"/>
          <w:szCs w:val="24"/>
        </w:rPr>
        <w:t xml:space="preserve">to </w:t>
      </w:r>
      <w:r w:rsidR="00087CFA" w:rsidRPr="0033265E">
        <w:rPr>
          <w:rFonts w:eastAsia="HGSMinchoE"/>
          <w:szCs w:val="24"/>
        </w:rPr>
        <w:t>identify cases which should be used for peer to peer learning and significant event analysis (including patients who presented many times before diagnosis and those diagnosed late).</w:t>
      </w:r>
    </w:p>
    <w:p w14:paraId="3B993578" w14:textId="77777777" w:rsidR="00561BFE" w:rsidRPr="00561BFE" w:rsidRDefault="00561BFE" w:rsidP="00561BFE">
      <w:pPr>
        <w:spacing w:line="276" w:lineRule="auto"/>
        <w:rPr>
          <w:rFonts w:eastAsia="HGSMinchoE"/>
          <w:szCs w:val="24"/>
        </w:rPr>
      </w:pPr>
    </w:p>
    <w:p w14:paraId="1963EC32" w14:textId="4878186F" w:rsidR="00087CFA" w:rsidRDefault="000C6C5B" w:rsidP="00561BFE">
      <w:pPr>
        <w:pStyle w:val="ListParagraph"/>
        <w:numPr>
          <w:ilvl w:val="0"/>
          <w:numId w:val="58"/>
        </w:numPr>
        <w:spacing w:line="276" w:lineRule="auto"/>
        <w:rPr>
          <w:rFonts w:eastAsia="HGSMinchoE"/>
          <w:szCs w:val="24"/>
        </w:rPr>
      </w:pPr>
      <w:r>
        <w:rPr>
          <w:rFonts w:eastAsia="HGSMinchoE"/>
          <w:szCs w:val="24"/>
        </w:rPr>
        <w:t>f</w:t>
      </w:r>
      <w:r w:rsidR="00087CFA" w:rsidRPr="00FE7419">
        <w:rPr>
          <w:rFonts w:eastAsia="HGSMinchoE"/>
          <w:szCs w:val="24"/>
        </w:rPr>
        <w:t xml:space="preserve">acilitating and supporting constituent practices to conduct Network-wide Significant Event Analyses and peer to peer learning sessions, taking advantage of the broad range of cases across a </w:t>
      </w:r>
      <w:r w:rsidR="005F2EF0">
        <w:rPr>
          <w:rFonts w:eastAsia="HGSMinchoE"/>
          <w:szCs w:val="24"/>
        </w:rPr>
        <w:t>PCN</w:t>
      </w:r>
      <w:r w:rsidR="00087CFA" w:rsidRPr="00FE7419">
        <w:rPr>
          <w:rFonts w:eastAsia="HGSMinchoE"/>
          <w:szCs w:val="24"/>
        </w:rPr>
        <w:t>.</w:t>
      </w:r>
    </w:p>
    <w:p w14:paraId="5851360F" w14:textId="77777777" w:rsidR="00561BFE" w:rsidRPr="00561BFE" w:rsidRDefault="00561BFE" w:rsidP="00561BFE">
      <w:pPr>
        <w:spacing w:line="276" w:lineRule="auto"/>
        <w:rPr>
          <w:rFonts w:eastAsia="HGSMinchoE"/>
          <w:szCs w:val="24"/>
        </w:rPr>
      </w:pPr>
    </w:p>
    <w:p w14:paraId="2968EB2B" w14:textId="4BAD1285" w:rsidR="00087CFA" w:rsidRPr="00FE7419" w:rsidRDefault="000C6C5B" w:rsidP="00561BFE">
      <w:pPr>
        <w:pStyle w:val="ListParagraph"/>
        <w:numPr>
          <w:ilvl w:val="0"/>
          <w:numId w:val="58"/>
        </w:numPr>
        <w:spacing w:line="276" w:lineRule="auto"/>
        <w:rPr>
          <w:rFonts w:eastAsia="HGSMinchoE"/>
          <w:szCs w:val="24"/>
        </w:rPr>
      </w:pPr>
      <w:r>
        <w:rPr>
          <w:rFonts w:eastAsia="HGSMinchoE"/>
          <w:szCs w:val="24"/>
        </w:rPr>
        <w:lastRenderedPageBreak/>
        <w:t>f</w:t>
      </w:r>
      <w:r w:rsidR="00087CFA" w:rsidRPr="00FE7419">
        <w:rPr>
          <w:rFonts w:eastAsia="HGSMinchoE"/>
          <w:szCs w:val="24"/>
        </w:rPr>
        <w:t>acilitating and encouraging practices’ engagement with local system partners, including Patient Participation Groups, secondary care, the relevant Cancer Alliance and Public Health Commissioning teams, to inform ongoing improvement activity</w:t>
      </w:r>
      <w:r w:rsidR="00087CFA">
        <w:rPr>
          <w:rFonts w:eastAsia="HGSMinchoE"/>
          <w:szCs w:val="24"/>
        </w:rPr>
        <w:t>.</w:t>
      </w:r>
      <w:r w:rsidR="00087CFA" w:rsidRPr="00FE7419">
        <w:rPr>
          <w:rFonts w:eastAsia="HGSMinchoE"/>
          <w:szCs w:val="24"/>
        </w:rPr>
        <w:t xml:space="preserve"> </w:t>
      </w:r>
    </w:p>
    <w:p w14:paraId="1F248B2D" w14:textId="77777777" w:rsidR="00F460BB" w:rsidRDefault="00F460BB" w:rsidP="00561BFE">
      <w:pPr>
        <w:spacing w:after="0" w:line="276" w:lineRule="auto"/>
        <w:rPr>
          <w:b/>
        </w:rPr>
      </w:pPr>
    </w:p>
    <w:p w14:paraId="57FC0F8B" w14:textId="1BD85771" w:rsidR="00C1247B" w:rsidRDefault="002D6C93" w:rsidP="00561BFE">
      <w:pPr>
        <w:spacing w:after="0" w:line="276" w:lineRule="auto"/>
        <w:rPr>
          <w:b/>
        </w:rPr>
      </w:pPr>
      <w:r>
        <w:rPr>
          <w:b/>
        </w:rPr>
        <w:t xml:space="preserve">Proposed </w:t>
      </w:r>
      <w:r w:rsidR="00793A10">
        <w:rPr>
          <w:b/>
        </w:rPr>
        <w:t>m</w:t>
      </w:r>
      <w:r w:rsidR="00C1247B" w:rsidRPr="00C1247B">
        <w:rPr>
          <w:b/>
        </w:rPr>
        <w:t>etrics</w:t>
      </w:r>
    </w:p>
    <w:p w14:paraId="559F4219" w14:textId="77777777" w:rsidR="00561BFE" w:rsidRDefault="00561BFE" w:rsidP="00561BFE">
      <w:pPr>
        <w:spacing w:after="0" w:line="276" w:lineRule="auto"/>
        <w:rPr>
          <w:b/>
        </w:rPr>
      </w:pPr>
    </w:p>
    <w:p w14:paraId="54A300B6" w14:textId="77777777" w:rsidR="004B2E1F" w:rsidRPr="00583C4E" w:rsidRDefault="004B2E1F" w:rsidP="00561BFE">
      <w:pPr>
        <w:pStyle w:val="ListParagraph"/>
        <w:numPr>
          <w:ilvl w:val="1"/>
          <w:numId w:val="43"/>
        </w:numPr>
        <w:spacing w:line="276" w:lineRule="auto"/>
        <w:ind w:left="567" w:hanging="567"/>
      </w:pPr>
      <w:r w:rsidRPr="00583C4E">
        <w:t>Potential metrics to monitor the success of the service may include, but are not limited to:</w:t>
      </w:r>
    </w:p>
    <w:p w14:paraId="46FCBCD6" w14:textId="33F0EBD2" w:rsidR="00087CFA" w:rsidRPr="007F4028" w:rsidRDefault="00087CFA" w:rsidP="00561BFE">
      <w:pPr>
        <w:spacing w:after="0" w:line="276" w:lineRule="auto"/>
      </w:pPr>
    </w:p>
    <w:tbl>
      <w:tblPr>
        <w:tblStyle w:val="TableGrid"/>
        <w:tblW w:w="0" w:type="auto"/>
        <w:tblInd w:w="720" w:type="dxa"/>
        <w:tblLook w:val="04A0" w:firstRow="1" w:lastRow="0" w:firstColumn="1" w:lastColumn="0" w:noHBand="0" w:noVBand="1"/>
      </w:tblPr>
      <w:tblGrid>
        <w:gridCol w:w="551"/>
        <w:gridCol w:w="7745"/>
      </w:tblGrid>
      <w:tr w:rsidR="00087CFA" w:rsidRPr="008478F3" w14:paraId="04914CAF" w14:textId="77777777" w:rsidTr="0082173D">
        <w:tc>
          <w:tcPr>
            <w:tcW w:w="551" w:type="dxa"/>
            <w:shd w:val="clear" w:color="auto" w:fill="4472C4" w:themeFill="accent1"/>
          </w:tcPr>
          <w:p w14:paraId="68E52692" w14:textId="77777777" w:rsidR="00087CFA" w:rsidRDefault="00087CFA" w:rsidP="00561BFE">
            <w:pPr>
              <w:pStyle w:val="ListParagraph"/>
              <w:spacing w:line="276" w:lineRule="auto"/>
              <w:ind w:left="0"/>
            </w:pPr>
          </w:p>
        </w:tc>
        <w:tc>
          <w:tcPr>
            <w:tcW w:w="7745" w:type="dxa"/>
            <w:shd w:val="clear" w:color="auto" w:fill="4472C4" w:themeFill="accent1"/>
          </w:tcPr>
          <w:p w14:paraId="3A059E29" w14:textId="77777777" w:rsidR="00087CFA" w:rsidRPr="008478F3" w:rsidRDefault="00087CFA" w:rsidP="00561BFE">
            <w:pPr>
              <w:spacing w:line="276" w:lineRule="auto"/>
              <w:rPr>
                <w:b/>
              </w:rPr>
            </w:pPr>
            <w:r w:rsidRPr="008478F3">
              <w:rPr>
                <w:b/>
              </w:rPr>
              <w:t>Metric description</w:t>
            </w:r>
          </w:p>
        </w:tc>
      </w:tr>
      <w:tr w:rsidR="00087CFA" w14:paraId="37FA822F" w14:textId="77777777" w:rsidTr="0082173D">
        <w:tc>
          <w:tcPr>
            <w:tcW w:w="551" w:type="dxa"/>
          </w:tcPr>
          <w:p w14:paraId="55379B7B" w14:textId="77777777" w:rsidR="00087CFA" w:rsidRDefault="00087CFA" w:rsidP="00561BFE">
            <w:pPr>
              <w:pStyle w:val="ListParagraph"/>
              <w:spacing w:line="276" w:lineRule="auto"/>
              <w:ind w:left="0"/>
            </w:pPr>
            <w:r>
              <w:t>1.</w:t>
            </w:r>
          </w:p>
        </w:tc>
        <w:tc>
          <w:tcPr>
            <w:tcW w:w="7745" w:type="dxa"/>
            <w:vAlign w:val="center"/>
          </w:tcPr>
          <w:p w14:paraId="5154A994" w14:textId="3D1A6D66" w:rsidR="00087CFA" w:rsidRDefault="00087CFA" w:rsidP="00561BFE">
            <w:pPr>
              <w:pStyle w:val="ListParagraph"/>
              <w:spacing w:line="276" w:lineRule="auto"/>
              <w:ind w:left="0"/>
            </w:pPr>
            <w:r>
              <w:t xml:space="preserve">The proportion of cancers diagnosed at early stage (stage 1 and 2) – </w:t>
            </w:r>
            <w:r w:rsidR="00D54F6D">
              <w:t>progress towards</w:t>
            </w:r>
            <w:r>
              <w:t xml:space="preserve"> local Cancer Alliance</w:t>
            </w:r>
            <w:r w:rsidR="00D54F6D">
              <w:t xml:space="preserve"> target</w:t>
            </w:r>
          </w:p>
        </w:tc>
      </w:tr>
      <w:tr w:rsidR="00087CFA" w:rsidRPr="008478F3" w14:paraId="1085AD07" w14:textId="77777777" w:rsidTr="0082173D">
        <w:tc>
          <w:tcPr>
            <w:tcW w:w="551" w:type="dxa"/>
          </w:tcPr>
          <w:p w14:paraId="206122BD" w14:textId="77777777" w:rsidR="00087CFA" w:rsidRDefault="00087CFA" w:rsidP="00561BFE">
            <w:pPr>
              <w:pStyle w:val="ListParagraph"/>
              <w:spacing w:line="276" w:lineRule="auto"/>
              <w:ind w:left="0"/>
            </w:pPr>
            <w:r>
              <w:t>2.</w:t>
            </w:r>
          </w:p>
        </w:tc>
        <w:tc>
          <w:tcPr>
            <w:tcW w:w="7745" w:type="dxa"/>
          </w:tcPr>
          <w:p w14:paraId="497E6215" w14:textId="77777777" w:rsidR="00087CFA" w:rsidRPr="008478F3" w:rsidRDefault="00087CFA" w:rsidP="00561BFE">
            <w:pPr>
              <w:pStyle w:val="ListParagraph"/>
              <w:spacing w:line="276" w:lineRule="auto"/>
              <w:ind w:left="0"/>
              <w:rPr>
                <w:szCs w:val="24"/>
              </w:rPr>
            </w:pPr>
            <w:r>
              <w:rPr>
                <w:rFonts w:cs="Arial"/>
              </w:rPr>
              <w:t xml:space="preserve">PCN-level participation in breast, bowel and cervical screening programmes </w:t>
            </w:r>
          </w:p>
        </w:tc>
      </w:tr>
      <w:tr w:rsidR="00087CFA" w14:paraId="0364C005" w14:textId="77777777" w:rsidTr="0082173D">
        <w:tc>
          <w:tcPr>
            <w:tcW w:w="551" w:type="dxa"/>
          </w:tcPr>
          <w:p w14:paraId="734BA082" w14:textId="77777777" w:rsidR="00087CFA" w:rsidRDefault="00087CFA" w:rsidP="00561BFE">
            <w:pPr>
              <w:pStyle w:val="ListParagraph"/>
              <w:spacing w:line="276" w:lineRule="auto"/>
              <w:ind w:left="0"/>
            </w:pPr>
            <w:r>
              <w:t>3.</w:t>
            </w:r>
          </w:p>
        </w:tc>
        <w:tc>
          <w:tcPr>
            <w:tcW w:w="7745" w:type="dxa"/>
            <w:vAlign w:val="center"/>
          </w:tcPr>
          <w:p w14:paraId="3759998E" w14:textId="77777777" w:rsidR="00087CFA" w:rsidRDefault="00087CFA" w:rsidP="00561BFE">
            <w:pPr>
              <w:pStyle w:val="ListParagraph"/>
              <w:spacing w:line="276" w:lineRule="auto"/>
              <w:ind w:left="0"/>
              <w:rPr>
                <w:rFonts w:cs="Arial"/>
              </w:rPr>
            </w:pPr>
            <w:r w:rsidRPr="006111A6">
              <w:rPr>
                <w:rFonts w:cs="Arial"/>
              </w:rPr>
              <w:t xml:space="preserve">Proportion of </w:t>
            </w:r>
            <w:r>
              <w:rPr>
                <w:rFonts w:cs="Arial"/>
              </w:rPr>
              <w:t xml:space="preserve">urgent cancer </w:t>
            </w:r>
            <w:r w:rsidRPr="006111A6">
              <w:rPr>
                <w:rFonts w:cs="Arial"/>
              </w:rPr>
              <w:t>referrals that were safety netted</w:t>
            </w:r>
          </w:p>
        </w:tc>
      </w:tr>
      <w:tr w:rsidR="00087CFA" w14:paraId="33A90DAF" w14:textId="77777777" w:rsidTr="0082173D">
        <w:tc>
          <w:tcPr>
            <w:tcW w:w="551" w:type="dxa"/>
          </w:tcPr>
          <w:p w14:paraId="4B2734B7" w14:textId="77777777" w:rsidR="00087CFA" w:rsidRDefault="00087CFA" w:rsidP="00561BFE">
            <w:pPr>
              <w:pStyle w:val="ListParagraph"/>
              <w:spacing w:line="276" w:lineRule="auto"/>
              <w:ind w:left="0"/>
            </w:pPr>
            <w:r>
              <w:t>4.</w:t>
            </w:r>
          </w:p>
        </w:tc>
        <w:tc>
          <w:tcPr>
            <w:tcW w:w="7745" w:type="dxa"/>
            <w:vAlign w:val="center"/>
          </w:tcPr>
          <w:p w14:paraId="3A1E3376" w14:textId="77777777" w:rsidR="00087CFA" w:rsidRDefault="00087CFA" w:rsidP="00561BFE">
            <w:pPr>
              <w:pStyle w:val="ListParagraph"/>
              <w:spacing w:line="276" w:lineRule="auto"/>
              <w:ind w:left="0"/>
              <w:rPr>
                <w:szCs w:val="24"/>
              </w:rPr>
            </w:pPr>
            <w:r>
              <w:rPr>
                <w:szCs w:val="24"/>
              </w:rPr>
              <w:t>The number of new cancer cases treated that have resulted from a two week wait referral (the ‘detection’ rate)</w:t>
            </w:r>
          </w:p>
        </w:tc>
      </w:tr>
      <w:tr w:rsidR="00087CFA" w:rsidRPr="008478F3" w14:paraId="01E27CD1" w14:textId="77777777" w:rsidTr="0082173D">
        <w:tc>
          <w:tcPr>
            <w:tcW w:w="551" w:type="dxa"/>
          </w:tcPr>
          <w:p w14:paraId="777EC7EA" w14:textId="77777777" w:rsidR="00087CFA" w:rsidRDefault="00087CFA" w:rsidP="00561BFE">
            <w:pPr>
              <w:pStyle w:val="ListParagraph"/>
              <w:spacing w:line="276" w:lineRule="auto"/>
              <w:ind w:left="0"/>
            </w:pPr>
            <w:r>
              <w:t>5.</w:t>
            </w:r>
          </w:p>
        </w:tc>
        <w:tc>
          <w:tcPr>
            <w:tcW w:w="7745" w:type="dxa"/>
            <w:vAlign w:val="center"/>
          </w:tcPr>
          <w:p w14:paraId="55C857F0" w14:textId="77777777" w:rsidR="00087CFA" w:rsidRPr="008478F3" w:rsidRDefault="00087CFA" w:rsidP="00561BFE">
            <w:pPr>
              <w:pStyle w:val="ListParagraph"/>
              <w:spacing w:line="276" w:lineRule="auto"/>
              <w:ind w:left="0"/>
              <w:rPr>
                <w:szCs w:val="24"/>
              </w:rPr>
            </w:pPr>
            <w:r>
              <w:rPr>
                <w:szCs w:val="24"/>
              </w:rPr>
              <w:t xml:space="preserve">The number of </w:t>
            </w:r>
            <w:proofErr w:type="gramStart"/>
            <w:r>
              <w:rPr>
                <w:szCs w:val="24"/>
              </w:rPr>
              <w:t>two week</w:t>
            </w:r>
            <w:proofErr w:type="gramEnd"/>
            <w:r>
              <w:rPr>
                <w:szCs w:val="24"/>
              </w:rPr>
              <w:t xml:space="preserve"> referrals resulting in a diagnosis of cancer (the ‘conversion’ rate)</w:t>
            </w:r>
          </w:p>
        </w:tc>
      </w:tr>
      <w:tr w:rsidR="00515BC5" w:rsidRPr="008478F3" w14:paraId="6D72B035" w14:textId="77777777" w:rsidTr="0082173D">
        <w:tc>
          <w:tcPr>
            <w:tcW w:w="551" w:type="dxa"/>
          </w:tcPr>
          <w:p w14:paraId="69F13DD5" w14:textId="77DDFE49" w:rsidR="00515BC5" w:rsidRDefault="00515BC5" w:rsidP="00561BFE">
            <w:pPr>
              <w:pStyle w:val="ListParagraph"/>
              <w:spacing w:line="276" w:lineRule="auto"/>
              <w:ind w:left="0"/>
            </w:pPr>
            <w:r>
              <w:t>6.</w:t>
            </w:r>
          </w:p>
        </w:tc>
        <w:tc>
          <w:tcPr>
            <w:tcW w:w="7745" w:type="dxa"/>
            <w:vAlign w:val="center"/>
          </w:tcPr>
          <w:p w14:paraId="66DDFE53" w14:textId="5B34C8F7" w:rsidR="00515BC5" w:rsidRDefault="00515BC5" w:rsidP="00561BFE">
            <w:pPr>
              <w:pStyle w:val="ListParagraph"/>
              <w:spacing w:line="276" w:lineRule="auto"/>
              <w:ind w:left="0"/>
              <w:rPr>
                <w:szCs w:val="24"/>
              </w:rPr>
            </w:pPr>
            <w:r>
              <w:rPr>
                <w:szCs w:val="24"/>
              </w:rPr>
              <w:t>Number of cancers diagnosed via emergency presentation</w:t>
            </w:r>
          </w:p>
        </w:tc>
      </w:tr>
    </w:tbl>
    <w:p w14:paraId="46FBBEAE" w14:textId="3C939601" w:rsidR="2B7549A1" w:rsidRDefault="2B7549A1"/>
    <w:p w14:paraId="04EE7F7B" w14:textId="4C9D405D" w:rsidR="00087CFA" w:rsidRDefault="00087CFA"/>
    <w:p w14:paraId="5FE34A5E" w14:textId="77777777" w:rsidR="006035C7" w:rsidRDefault="006035C7">
      <w:pPr>
        <w:sectPr w:rsidR="006035C7" w:rsidSect="006035C7">
          <w:footerReference w:type="first" r:id="rId23"/>
          <w:pgSz w:w="11906" w:h="16838"/>
          <w:pgMar w:top="1440" w:right="1440" w:bottom="1276" w:left="1440" w:header="708" w:footer="57" w:gutter="0"/>
          <w:cols w:space="708"/>
          <w:titlePg/>
          <w:docGrid w:linePitch="360"/>
        </w:sectPr>
      </w:pPr>
    </w:p>
    <w:p w14:paraId="79146B80" w14:textId="09002D37" w:rsidR="007077C8" w:rsidRDefault="007077C8" w:rsidP="007077C8">
      <w:pPr>
        <w:pStyle w:val="Heading1"/>
        <w:numPr>
          <w:ilvl w:val="0"/>
          <w:numId w:val="1"/>
        </w:numPr>
      </w:pPr>
      <w:bookmarkStart w:id="21" w:name="_Toc27473071"/>
      <w:r>
        <w:lastRenderedPageBreak/>
        <w:t>Questions for Engagement</w:t>
      </w:r>
      <w:bookmarkEnd w:id="21"/>
      <w:r>
        <w:t xml:space="preserve"> </w:t>
      </w:r>
    </w:p>
    <w:p w14:paraId="4CFE906C" w14:textId="5CF76C8E" w:rsidR="00087CFA" w:rsidRDefault="00087CFA"/>
    <w:tbl>
      <w:tblPr>
        <w:tblStyle w:val="TableGrid"/>
        <w:tblW w:w="8566" w:type="dxa"/>
        <w:tblInd w:w="360" w:type="dxa"/>
        <w:tblLayout w:type="fixed"/>
        <w:tblLook w:val="06A0" w:firstRow="1" w:lastRow="0" w:firstColumn="1" w:lastColumn="0" w:noHBand="1" w:noVBand="1"/>
      </w:tblPr>
      <w:tblGrid>
        <w:gridCol w:w="8566"/>
      </w:tblGrid>
      <w:tr w:rsidR="2B7549A1" w14:paraId="12422132" w14:textId="77777777" w:rsidTr="007077C8">
        <w:tc>
          <w:tcPr>
            <w:tcW w:w="8566" w:type="dxa"/>
            <w:shd w:val="clear" w:color="auto" w:fill="E7E6E6" w:themeFill="background2"/>
          </w:tcPr>
          <w:p w14:paraId="71FDFC32" w14:textId="66D34A61" w:rsidR="2B7549A1" w:rsidRPr="007F4028" w:rsidRDefault="2B7549A1" w:rsidP="007F4028">
            <w:pPr>
              <w:ind w:left="360"/>
              <w:rPr>
                <w:rFonts w:eastAsia="Arial" w:cs="Arial"/>
              </w:rPr>
            </w:pPr>
            <w:bookmarkStart w:id="22" w:name="_Hlk25772562"/>
          </w:p>
          <w:p w14:paraId="37C0F995" w14:textId="77777777" w:rsidR="2B7549A1" w:rsidRPr="00E316FC" w:rsidRDefault="00D33614" w:rsidP="007077C8">
            <w:pPr>
              <w:pStyle w:val="ListParagraph"/>
              <w:numPr>
                <w:ilvl w:val="0"/>
                <w:numId w:val="9"/>
              </w:numPr>
              <w:spacing w:line="276" w:lineRule="auto"/>
              <w:ind w:left="360"/>
            </w:pPr>
            <w:r w:rsidRPr="00E316FC">
              <w:rPr>
                <w:rFonts w:eastAsia="Arial" w:cs="Arial"/>
                <w:szCs w:val="24"/>
              </w:rPr>
              <w:t xml:space="preserve">Are there additional </w:t>
            </w:r>
            <w:r w:rsidR="2B7549A1" w:rsidRPr="00E316FC">
              <w:rPr>
                <w:rFonts w:eastAsia="Arial" w:cs="Arial"/>
                <w:szCs w:val="24"/>
              </w:rPr>
              <w:t xml:space="preserve">requirements </w:t>
            </w:r>
            <w:r w:rsidRPr="00E316FC">
              <w:rPr>
                <w:rFonts w:eastAsia="Arial" w:cs="Arial"/>
                <w:szCs w:val="24"/>
              </w:rPr>
              <w:t xml:space="preserve">we should consider for inclusion </w:t>
            </w:r>
            <w:r w:rsidR="2B7549A1" w:rsidRPr="00E316FC">
              <w:rPr>
                <w:rFonts w:eastAsia="Arial" w:cs="Arial"/>
                <w:szCs w:val="24"/>
              </w:rPr>
              <w:t>which have delivered benefits in your a</w:t>
            </w:r>
            <w:r w:rsidR="6E13B7AF" w:rsidRPr="00E316FC">
              <w:rPr>
                <w:rFonts w:eastAsia="Arial" w:cs="Arial"/>
                <w:szCs w:val="24"/>
              </w:rPr>
              <w:t>rea?</w:t>
            </w:r>
          </w:p>
          <w:p w14:paraId="0133A6DE" w14:textId="77777777" w:rsidR="009B09A5" w:rsidRPr="007F4028" w:rsidRDefault="009B09A5" w:rsidP="007077C8">
            <w:pPr>
              <w:pStyle w:val="ListParagraph"/>
              <w:spacing w:line="276" w:lineRule="auto"/>
              <w:ind w:left="360"/>
            </w:pPr>
          </w:p>
          <w:p w14:paraId="35954F0B" w14:textId="77777777" w:rsidR="009B09A5" w:rsidRPr="00E316FC" w:rsidRDefault="2B7549A1" w:rsidP="007077C8">
            <w:pPr>
              <w:pStyle w:val="ListParagraph"/>
              <w:numPr>
                <w:ilvl w:val="0"/>
                <w:numId w:val="9"/>
              </w:numPr>
              <w:spacing w:line="276" w:lineRule="auto"/>
              <w:ind w:left="360"/>
              <w:rPr>
                <w:rFonts w:eastAsia="HGSMinchoE"/>
                <w:szCs w:val="24"/>
              </w:rPr>
            </w:pPr>
            <w:r w:rsidRPr="00E316FC">
              <w:rPr>
                <w:rFonts w:eastAsia="HGSMinchoE"/>
                <w:szCs w:val="24"/>
              </w:rPr>
              <w:t>Are there any</w:t>
            </w:r>
            <w:r w:rsidR="00AB3BE5" w:rsidRPr="00E316FC">
              <w:rPr>
                <w:rFonts w:eastAsia="HGSMinchoE"/>
                <w:szCs w:val="24"/>
              </w:rPr>
              <w:t xml:space="preserve"> </w:t>
            </w:r>
            <w:r w:rsidR="00D33614" w:rsidRPr="00E316FC">
              <w:rPr>
                <w:rFonts w:eastAsia="HGSMinchoE"/>
                <w:szCs w:val="24"/>
              </w:rPr>
              <w:t xml:space="preserve">areas </w:t>
            </w:r>
            <w:r w:rsidR="007F4028" w:rsidRPr="00E316FC">
              <w:rPr>
                <w:rFonts w:eastAsia="HGSMinchoE"/>
                <w:szCs w:val="24"/>
              </w:rPr>
              <w:t>where</w:t>
            </w:r>
            <w:r w:rsidR="00AB3BE5" w:rsidRPr="00E316FC">
              <w:rPr>
                <w:rFonts w:eastAsia="HGSMinchoE"/>
                <w:szCs w:val="24"/>
              </w:rPr>
              <w:t xml:space="preserve"> </w:t>
            </w:r>
            <w:r w:rsidRPr="00E316FC">
              <w:rPr>
                <w:rFonts w:eastAsia="HGSMinchoE"/>
                <w:szCs w:val="24"/>
              </w:rPr>
              <w:t xml:space="preserve">we could clarify the </w:t>
            </w:r>
            <w:r w:rsidR="005F53A2" w:rsidRPr="00E316FC">
              <w:rPr>
                <w:rFonts w:eastAsia="HGSMinchoE"/>
                <w:szCs w:val="24"/>
              </w:rPr>
              <w:t xml:space="preserve">service </w:t>
            </w:r>
            <w:r w:rsidRPr="00E316FC">
              <w:rPr>
                <w:rFonts w:eastAsia="HGSMinchoE"/>
                <w:szCs w:val="24"/>
              </w:rPr>
              <w:t>requirements further</w:t>
            </w:r>
            <w:r w:rsidR="00D33614" w:rsidRPr="00E316FC">
              <w:rPr>
                <w:rFonts w:eastAsia="HGSMinchoE"/>
                <w:szCs w:val="24"/>
              </w:rPr>
              <w:t>?</w:t>
            </w:r>
          </w:p>
          <w:p w14:paraId="3C061BE9" w14:textId="77777777" w:rsidR="009B09A5" w:rsidRPr="007B1078" w:rsidRDefault="009B09A5" w:rsidP="007077C8">
            <w:pPr>
              <w:pStyle w:val="ListParagraph"/>
              <w:spacing w:line="276" w:lineRule="auto"/>
              <w:ind w:left="360"/>
              <w:rPr>
                <w:rFonts w:eastAsia="Arial" w:cs="Arial"/>
              </w:rPr>
            </w:pPr>
          </w:p>
          <w:p w14:paraId="51698073" w14:textId="77777777" w:rsidR="00D33614" w:rsidRPr="00E316FC" w:rsidRDefault="009B09A5" w:rsidP="007077C8">
            <w:pPr>
              <w:pStyle w:val="ListParagraph"/>
              <w:numPr>
                <w:ilvl w:val="0"/>
                <w:numId w:val="9"/>
              </w:numPr>
              <w:spacing w:line="276" w:lineRule="auto"/>
              <w:ind w:left="360"/>
              <w:rPr>
                <w:rFonts w:eastAsia="HGSMinchoE"/>
                <w:szCs w:val="24"/>
              </w:rPr>
            </w:pPr>
            <w:r w:rsidRPr="00E316FC">
              <w:rPr>
                <w:rFonts w:eastAsia="HGSMinchoE"/>
                <w:szCs w:val="24"/>
              </w:rPr>
              <w:t>W</w:t>
            </w:r>
            <w:r w:rsidR="00D33614" w:rsidRPr="00E316FC">
              <w:rPr>
                <w:rFonts w:eastAsia="HGSMinchoE"/>
                <w:szCs w:val="24"/>
              </w:rPr>
              <w:t>hat other practical implementation support could CCGs and Integrated Care Systems provide to help support implementation of the service requirements?</w:t>
            </w:r>
          </w:p>
          <w:p w14:paraId="5771AE91" w14:textId="77777777" w:rsidR="009B09A5" w:rsidRDefault="009B09A5" w:rsidP="007077C8">
            <w:pPr>
              <w:pStyle w:val="ListParagraph"/>
              <w:spacing w:line="276" w:lineRule="auto"/>
              <w:ind w:left="360"/>
            </w:pPr>
          </w:p>
          <w:p w14:paraId="3F42D501" w14:textId="77777777" w:rsidR="00D33614" w:rsidRPr="00E316FC" w:rsidRDefault="00D33614" w:rsidP="007077C8">
            <w:pPr>
              <w:pStyle w:val="ListParagraph"/>
              <w:numPr>
                <w:ilvl w:val="0"/>
                <w:numId w:val="9"/>
              </w:numPr>
              <w:spacing w:line="276" w:lineRule="auto"/>
              <w:ind w:left="360"/>
              <w:rPr>
                <w:rFonts w:eastAsia="HGSMinchoE"/>
                <w:szCs w:val="24"/>
              </w:rPr>
            </w:pPr>
            <w:r w:rsidRPr="00E316FC">
              <w:rPr>
                <w:rFonts w:eastAsia="HGSMinchoE"/>
                <w:szCs w:val="24"/>
              </w:rPr>
              <w:t>Is the proposed approach to phasing in service requirements appropriate</w:t>
            </w:r>
            <w:r w:rsidR="009B09A5" w:rsidRPr="00E316FC">
              <w:rPr>
                <w:rFonts w:eastAsia="HGSMinchoE"/>
                <w:szCs w:val="24"/>
              </w:rPr>
              <w:t>?</w:t>
            </w:r>
            <w:r w:rsidRPr="00E316FC">
              <w:rPr>
                <w:rFonts w:eastAsia="HGSMinchoE"/>
                <w:szCs w:val="24"/>
              </w:rPr>
              <w:t xml:space="preserve"> </w:t>
            </w:r>
          </w:p>
          <w:p w14:paraId="01F26986" w14:textId="77777777" w:rsidR="2B7549A1" w:rsidRDefault="2B7549A1" w:rsidP="007077C8">
            <w:pPr>
              <w:spacing w:line="276" w:lineRule="auto"/>
              <w:ind w:left="-360" w:firstLine="720"/>
            </w:pPr>
          </w:p>
          <w:p w14:paraId="4BC6EB35" w14:textId="77777777" w:rsidR="2B7549A1" w:rsidRPr="00E316FC" w:rsidRDefault="2B7549A1" w:rsidP="007077C8">
            <w:pPr>
              <w:pStyle w:val="ListParagraph"/>
              <w:numPr>
                <w:ilvl w:val="0"/>
                <w:numId w:val="9"/>
              </w:numPr>
              <w:spacing w:line="276" w:lineRule="auto"/>
              <w:ind w:left="360"/>
              <w:rPr>
                <w:rFonts w:eastAsia="HGSMinchoE"/>
                <w:szCs w:val="24"/>
              </w:rPr>
            </w:pPr>
            <w:r w:rsidRPr="00E316FC">
              <w:rPr>
                <w:rFonts w:eastAsia="Arial" w:cs="Arial"/>
                <w:szCs w:val="24"/>
              </w:rPr>
              <w:t xml:space="preserve">What good practice are you able to share with other sites to assist with delivering </w:t>
            </w:r>
            <w:r w:rsidR="007F4028" w:rsidRPr="00E316FC">
              <w:rPr>
                <w:rFonts w:eastAsia="Arial" w:cs="Arial"/>
                <w:szCs w:val="24"/>
              </w:rPr>
              <w:t>the</w:t>
            </w:r>
            <w:r w:rsidRPr="00E316FC">
              <w:rPr>
                <w:rFonts w:eastAsia="Arial" w:cs="Arial"/>
                <w:szCs w:val="24"/>
              </w:rPr>
              <w:t xml:space="preserve"> suggested service requirements?</w:t>
            </w:r>
          </w:p>
          <w:p w14:paraId="293A2C92" w14:textId="77777777" w:rsidR="2B7549A1" w:rsidRDefault="2B7549A1" w:rsidP="007077C8">
            <w:pPr>
              <w:spacing w:line="276" w:lineRule="auto"/>
              <w:ind w:left="-360" w:firstLine="60"/>
            </w:pPr>
          </w:p>
          <w:p w14:paraId="37CC9F20" w14:textId="77777777" w:rsidR="2B7549A1" w:rsidRPr="00E316FC" w:rsidRDefault="0009161B" w:rsidP="007077C8">
            <w:pPr>
              <w:pStyle w:val="ListParagraph"/>
              <w:numPr>
                <w:ilvl w:val="0"/>
                <w:numId w:val="9"/>
              </w:numPr>
              <w:spacing w:line="276" w:lineRule="auto"/>
              <w:ind w:left="360"/>
              <w:rPr>
                <w:rFonts w:eastAsia="HGSMinchoE"/>
                <w:szCs w:val="24"/>
              </w:rPr>
            </w:pPr>
            <w:r w:rsidRPr="00E316FC">
              <w:rPr>
                <w:rFonts w:eastAsia="Arial" w:cs="Arial"/>
                <w:szCs w:val="24"/>
              </w:rPr>
              <w:t xml:space="preserve">Of the set of </w:t>
            </w:r>
            <w:r w:rsidR="00D33614" w:rsidRPr="00E316FC">
              <w:rPr>
                <w:rFonts w:eastAsia="Arial" w:cs="Arial"/>
                <w:szCs w:val="24"/>
              </w:rPr>
              <w:t xml:space="preserve">metrics </w:t>
            </w:r>
            <w:r w:rsidRPr="00E316FC">
              <w:rPr>
                <w:rFonts w:eastAsia="Arial" w:cs="Arial"/>
                <w:szCs w:val="24"/>
              </w:rPr>
              <w:t>proposed for each service, which individual metric best represents of successful delivery of the specification?</w:t>
            </w:r>
          </w:p>
          <w:p w14:paraId="40017068" w14:textId="77777777" w:rsidR="2B7549A1" w:rsidRDefault="2B7549A1"/>
        </w:tc>
      </w:tr>
      <w:bookmarkEnd w:id="22"/>
    </w:tbl>
    <w:p w14:paraId="0E0045B9" w14:textId="77777777" w:rsidR="004B2E1F" w:rsidRDefault="004B2E1F" w:rsidP="004B2E1F">
      <w:pPr>
        <w:pStyle w:val="ListParagraph"/>
      </w:pPr>
    </w:p>
    <w:sectPr w:rsidR="004B2E1F" w:rsidSect="006035C7">
      <w:pgSz w:w="11906" w:h="16838"/>
      <w:pgMar w:top="1440" w:right="1440" w:bottom="1276"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5C30" w14:textId="77777777" w:rsidR="00E60901" w:rsidRDefault="00E60901" w:rsidP="0041131D">
      <w:pPr>
        <w:spacing w:after="0" w:line="240" w:lineRule="auto"/>
      </w:pPr>
      <w:r>
        <w:separator/>
      </w:r>
    </w:p>
  </w:endnote>
  <w:endnote w:type="continuationSeparator" w:id="0">
    <w:p w14:paraId="24D5AD4E" w14:textId="77777777" w:rsidR="00E60901" w:rsidRDefault="00E60901"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4635" w14:textId="77777777" w:rsidR="00E60901" w:rsidRDefault="00E6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55466"/>
      <w:docPartObj>
        <w:docPartGallery w:val="Page Numbers (Bottom of Page)"/>
        <w:docPartUnique/>
      </w:docPartObj>
    </w:sdtPr>
    <w:sdtEndPr>
      <w:rPr>
        <w:noProof/>
      </w:rPr>
    </w:sdtEndPr>
    <w:sdtContent>
      <w:p w14:paraId="6DEA7DD7" w14:textId="77777777" w:rsidR="00E60901" w:rsidRDefault="00E60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A8429" w14:textId="77777777" w:rsidR="00E60901" w:rsidRDefault="00E6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270F" w14:textId="77777777" w:rsidR="00E60901" w:rsidRDefault="00E60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95173"/>
      <w:docPartObj>
        <w:docPartGallery w:val="Page Numbers (Bottom of Page)"/>
        <w:docPartUnique/>
      </w:docPartObj>
    </w:sdtPr>
    <w:sdtEndPr>
      <w:rPr>
        <w:noProof/>
      </w:rPr>
    </w:sdtEndPr>
    <w:sdtContent>
      <w:p w14:paraId="311C82C4" w14:textId="77777777" w:rsidR="00E60901" w:rsidRDefault="00E60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166FB" w14:textId="77777777" w:rsidR="00E60901" w:rsidRDefault="00E6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E2E6" w14:textId="77777777" w:rsidR="00E60901" w:rsidRDefault="00E60901" w:rsidP="0041131D">
      <w:pPr>
        <w:spacing w:after="0" w:line="240" w:lineRule="auto"/>
      </w:pPr>
      <w:r>
        <w:separator/>
      </w:r>
    </w:p>
  </w:footnote>
  <w:footnote w:type="continuationSeparator" w:id="0">
    <w:p w14:paraId="20D22968" w14:textId="77777777" w:rsidR="00E60901" w:rsidRDefault="00E60901" w:rsidP="0041131D">
      <w:pPr>
        <w:spacing w:after="0" w:line="240" w:lineRule="auto"/>
      </w:pPr>
      <w:r>
        <w:continuationSeparator/>
      </w:r>
    </w:p>
  </w:footnote>
  <w:footnote w:id="1">
    <w:p w14:paraId="736A5B73" w14:textId="77777777" w:rsidR="00E60901" w:rsidRDefault="00E60901" w:rsidP="004B2E1F">
      <w:pPr>
        <w:pStyle w:val="FootnoteText"/>
      </w:pPr>
      <w:r>
        <w:rPr>
          <w:rStyle w:val="FootnoteReference"/>
        </w:rPr>
        <w:footnoteRef/>
      </w:r>
      <w:r>
        <w:t xml:space="preserve"> </w:t>
      </w:r>
      <w:r w:rsidRPr="00161DB6">
        <w:rPr>
          <w:rFonts w:cs="Arial"/>
        </w:rPr>
        <w:t xml:space="preserve">Problematic polypharmacy arises when multiple medicines are prescribed inappropriately, or when the intended benefit of the medicines are not realised or appropriately monitored, potentially due to clinical complexity or clinical capacity.  </w:t>
      </w:r>
    </w:p>
  </w:footnote>
  <w:footnote w:id="2">
    <w:p w14:paraId="524341B0" w14:textId="77777777" w:rsidR="00E60901" w:rsidRDefault="00E60901" w:rsidP="004B2E1F">
      <w:pPr>
        <w:pStyle w:val="FootnoteText"/>
      </w:pPr>
      <w:r>
        <w:rPr>
          <w:rStyle w:val="FootnoteReference"/>
        </w:rPr>
        <w:footnoteRef/>
      </w:r>
      <w:r>
        <w:t xml:space="preserve"> NICE Guideline 5 Medicines optimisation: the safe and effective use of medicines to enable the best possible outcomes, 2015</w:t>
      </w:r>
    </w:p>
  </w:footnote>
  <w:footnote w:id="3">
    <w:p w14:paraId="24933434" w14:textId="3874334F" w:rsidR="00E60901" w:rsidRDefault="00E60901">
      <w:pPr>
        <w:pStyle w:val="FootnoteText"/>
      </w:pPr>
      <w:r>
        <w:rPr>
          <w:rStyle w:val="FootnoteReference"/>
        </w:rPr>
        <w:footnoteRef/>
      </w:r>
      <w:r>
        <w:t xml:space="preserve"> Medicines related harm in older adults, Pharmaceutical Journal: </w:t>
      </w:r>
      <w:hyperlink r:id="rId1" w:history="1">
        <w:r w:rsidRPr="00EE67B7">
          <w:rPr>
            <w:rStyle w:val="Hyperlink"/>
          </w:rPr>
          <w:t>https://www.pharmaceutical-journal.com/news-and-analysis/news/medication-related-harm-in-older-adults-costs-the-nhs-400m-each-year-study-finds/20204894.article?firstPass=false</w:t>
        </w:r>
      </w:hyperlink>
    </w:p>
  </w:footnote>
  <w:footnote w:id="4">
    <w:p w14:paraId="581E1893" w14:textId="34DB5316" w:rsidR="00E60901" w:rsidRDefault="00E60901">
      <w:pPr>
        <w:pStyle w:val="FootnoteText"/>
      </w:pPr>
      <w:r>
        <w:rPr>
          <w:rStyle w:val="FootnoteReference"/>
        </w:rPr>
        <w:footnoteRef/>
      </w:r>
      <w:r>
        <w:t xml:space="preserve"> </w:t>
      </w:r>
      <w:r w:rsidRPr="00870FF5">
        <w:rPr>
          <w:rFonts w:ascii="Calibri" w:hAnsi="Calibri" w:cs="Calibri"/>
          <w:lang w:eastAsia="en-GB"/>
        </w:rPr>
        <w:t>Community pharmacy contractors will be required to become an HLP Level 1 by 1st April 2020 as agreed in the</w:t>
      </w:r>
      <w:r w:rsidRPr="00320849">
        <w:rPr>
          <w:rFonts w:ascii="Calibri" w:hAnsi="Calibri" w:cs="Calibri"/>
          <w:lang w:eastAsia="en-GB"/>
        </w:rPr>
        <w:t> </w:t>
      </w:r>
      <w:hyperlink r:id="rId2" w:tgtFrame="_blank" w:history="1">
        <w:r w:rsidRPr="007305A1">
          <w:rPr>
            <w:rStyle w:val="Hyperlink"/>
            <w:rFonts w:ascii="Calibri" w:hAnsi="Calibri" w:cs="Calibri"/>
            <w:bCs/>
            <w:lang w:eastAsia="en-GB"/>
          </w:rPr>
          <w:t>five-year deal</w:t>
        </w:r>
      </w:hyperlink>
      <w:r w:rsidRPr="00870FF5">
        <w:rPr>
          <w:rStyle w:val="Strong"/>
          <w:rFonts w:ascii="Calibri" w:hAnsi="Calibri" w:cs="Calibri"/>
          <w:lang w:eastAsia="en-GB"/>
        </w:rPr>
        <w:t> </w:t>
      </w:r>
      <w:r w:rsidRPr="00870FF5">
        <w:rPr>
          <w:rFonts w:ascii="Calibri" w:hAnsi="Calibri" w:cs="Calibri"/>
          <w:lang w:eastAsia="en-GB"/>
        </w:rPr>
        <w:t xml:space="preserve">between PSNC, NHS England and NHS Improvement and the Department of Health and Social Care; this reflects the priority attached to public health and prevention work. </w:t>
      </w:r>
      <w:hyperlink r:id="rId3" w:history="1">
        <w:r w:rsidRPr="00870FF5">
          <w:rPr>
            <w:rStyle w:val="Hyperlink"/>
            <w:rFonts w:ascii="Calibri" w:eastAsia="Times New Roman" w:hAnsi="Calibri" w:cs="Calibri"/>
            <w:lang w:eastAsia="en-GB"/>
          </w:rPr>
          <w:t>https://psnc.org.uk/services-commissioning/locally-commissioned-services/healthy-living-pharmacies/</w:t>
        </w:r>
      </w:hyperlink>
    </w:p>
  </w:footnote>
  <w:footnote w:id="5">
    <w:p w14:paraId="09325061" w14:textId="77777777" w:rsidR="00E60901" w:rsidRDefault="00E60901" w:rsidP="004B2E1F">
      <w:pPr>
        <w:pStyle w:val="FootnoteText"/>
      </w:pPr>
      <w:r>
        <w:rPr>
          <w:rStyle w:val="FootnoteReference"/>
        </w:rPr>
        <w:footnoteRef/>
      </w:r>
      <w:r>
        <w:t xml:space="preserve"> </w:t>
      </w:r>
      <w:hyperlink r:id="rId4" w:anchor="ref" w:history="1">
        <w:r w:rsidRPr="00A31D81">
          <w:rPr>
            <w:rStyle w:val="Hyperlink"/>
          </w:rPr>
          <w:t>https://www.longtermplan.nhs.uk/online-version/chapter-1-a-new-service-model-for-the-21st-century/1-we-will-boost-out-of-hospital-care-and-finally-dissolve-the-historic-divide-between-primary-and-community-health-services/#ref</w:t>
        </w:r>
      </w:hyperlink>
      <w:r>
        <w:t xml:space="preserve"> </w:t>
      </w:r>
    </w:p>
  </w:footnote>
  <w:footnote w:id="6">
    <w:p w14:paraId="6A425B66" w14:textId="77777777" w:rsidR="00E60901" w:rsidRDefault="00E60901" w:rsidP="004B2E1F">
      <w:pPr>
        <w:pStyle w:val="FootnoteText"/>
      </w:pPr>
      <w:r>
        <w:rPr>
          <w:rStyle w:val="FootnoteReference"/>
        </w:rPr>
        <w:footnoteRef/>
      </w:r>
      <w:r>
        <w:t xml:space="preserve"> </w:t>
      </w:r>
      <w:hyperlink r:id="rId5" w:history="1">
        <w:r w:rsidRPr="003F440F">
          <w:rPr>
            <w:rStyle w:val="Hyperlink"/>
          </w:rPr>
          <w:t>https://www.england.nhs.uk/wp-content/uploads/2016/09/ehch-framework-v2.pdf</w:t>
        </w:r>
      </w:hyperlink>
      <w:r>
        <w:t xml:space="preserve"> </w:t>
      </w:r>
    </w:p>
  </w:footnote>
  <w:footnote w:id="7">
    <w:p w14:paraId="0EB940CF" w14:textId="77777777" w:rsidR="00E60901" w:rsidRDefault="00E60901" w:rsidP="004B2E1F">
      <w:pPr>
        <w:pStyle w:val="FootnoteText"/>
      </w:pPr>
      <w:r>
        <w:rPr>
          <w:rStyle w:val="FootnoteReference"/>
        </w:rPr>
        <w:footnoteRef/>
      </w:r>
      <w:r>
        <w:t xml:space="preserve"> </w:t>
      </w:r>
      <w:hyperlink r:id="rId6" w:history="1">
        <w:r>
          <w:rPr>
            <w:rStyle w:val="Hyperlink"/>
          </w:rPr>
          <w:t>https://www.health.org.uk/publications/reports/emergency-admissions-to-hospital-from-care-homes</w:t>
        </w:r>
      </w:hyperlink>
    </w:p>
  </w:footnote>
  <w:footnote w:id="8">
    <w:p w14:paraId="73F7F620" w14:textId="77777777" w:rsidR="00E60901" w:rsidRPr="004674CF" w:rsidRDefault="00E60901" w:rsidP="00735657">
      <w:pPr>
        <w:pStyle w:val="FootnoteText"/>
        <w:rPr>
          <w:rFonts w:eastAsia="Times New Roman"/>
        </w:rPr>
      </w:pPr>
      <w:r>
        <w:rPr>
          <w:rStyle w:val="FootnoteReference"/>
        </w:rPr>
        <w:footnoteRef/>
      </w:r>
      <w:r>
        <w:t xml:space="preserve"> </w:t>
      </w:r>
      <w:hyperlink r:id="rId7" w:history="1">
        <w:r>
          <w:rPr>
            <w:rStyle w:val="Hyperlink"/>
            <w:rFonts w:eastAsia="Times New Roman"/>
          </w:rPr>
          <w:t>https://stpsupport.nice.org.uk/transfer-of-care/index.html</w:t>
        </w:r>
      </w:hyperlink>
    </w:p>
  </w:footnote>
  <w:footnote w:id="9">
    <w:p w14:paraId="0AAA1AEC" w14:textId="77777777" w:rsidR="00E60901" w:rsidRDefault="00E60901" w:rsidP="00735657">
      <w:pPr>
        <w:pStyle w:val="FootnoteText"/>
      </w:pPr>
      <w:r>
        <w:rPr>
          <w:rStyle w:val="FootnoteReference"/>
        </w:rPr>
        <w:footnoteRef/>
      </w:r>
      <w:r>
        <w:t xml:space="preserve"> </w:t>
      </w:r>
      <w:hyperlink r:id="rId8" w:anchor="supporting-infrastructure" w:history="1">
        <w:r>
          <w:rPr>
            <w:rStyle w:val="Hyperlink"/>
            <w:rFonts w:eastAsia="Times New Roman"/>
          </w:rPr>
          <w:t>https://www.nice.org.uk/guidance/ng27/chapter/Recommendations#supporting-infrastructure</w:t>
        </w:r>
      </w:hyperlink>
    </w:p>
  </w:footnote>
  <w:footnote w:id="10">
    <w:p w14:paraId="3AD7756D" w14:textId="77777777" w:rsidR="00E60901" w:rsidRDefault="00E60901" w:rsidP="000403A8">
      <w:pPr>
        <w:pStyle w:val="FootnoteText"/>
      </w:pPr>
      <w:r>
        <w:rPr>
          <w:rStyle w:val="FootnoteReference"/>
        </w:rPr>
        <w:footnoteRef/>
      </w:r>
      <w:r>
        <w:t xml:space="preserve"> </w:t>
      </w:r>
      <w:r w:rsidRPr="00BB65F7">
        <w:t>https://www.england.nhs.uk/wp-content/uploads/2019/01/universal-personalised-care.pdf</w:t>
      </w:r>
    </w:p>
  </w:footnote>
  <w:footnote w:id="11">
    <w:p w14:paraId="76C09815" w14:textId="28061C75" w:rsidR="00E60901" w:rsidRPr="00787E4C" w:rsidRDefault="00E60901" w:rsidP="004B2E1F">
      <w:pPr>
        <w:rPr>
          <w:rFonts w:cs="Arial"/>
          <w:sz w:val="20"/>
          <w:szCs w:val="20"/>
        </w:rPr>
      </w:pPr>
      <w:r w:rsidRPr="00787E4C">
        <w:rPr>
          <w:rStyle w:val="FootnoteReference"/>
          <w:sz w:val="20"/>
          <w:szCs w:val="20"/>
        </w:rPr>
        <w:footnoteRef/>
      </w:r>
      <w:r w:rsidRPr="00787E4C">
        <w:rPr>
          <w:sz w:val="20"/>
          <w:szCs w:val="20"/>
        </w:rPr>
        <w:t xml:space="preserve"> </w:t>
      </w:r>
      <w:r w:rsidRPr="00787E4C">
        <w:rPr>
          <w:rFonts w:cs="Arial"/>
          <w:sz w:val="20"/>
          <w:szCs w:val="20"/>
        </w:rPr>
        <w:t xml:space="preserve">Further detail of each of the six components can be found in the </w:t>
      </w:r>
      <w:hyperlink r:id="rId9" w:history="1">
        <w:r w:rsidRPr="00320849">
          <w:rPr>
            <w:rStyle w:val="Hyperlink"/>
            <w:rFonts w:cs="Arial"/>
            <w:sz w:val="20"/>
            <w:szCs w:val="20"/>
          </w:rPr>
          <w:t>Universal Personalised Care: Implementing the Comprehensive Model</w:t>
        </w:r>
      </w:hyperlink>
      <w:r w:rsidRPr="00787E4C">
        <w:rPr>
          <w:rFonts w:cs="Arial"/>
          <w:sz w:val="20"/>
          <w:szCs w:val="20"/>
        </w:rPr>
        <w:t>.</w:t>
      </w:r>
    </w:p>
    <w:p w14:paraId="55975464" w14:textId="77777777" w:rsidR="00E60901" w:rsidRDefault="00E60901" w:rsidP="004B2E1F">
      <w:pPr>
        <w:pStyle w:val="FootnoteText"/>
      </w:pPr>
    </w:p>
  </w:footnote>
  <w:footnote w:id="12">
    <w:p w14:paraId="5BA9A2DB" w14:textId="0D7E703A" w:rsidR="00E60901" w:rsidRDefault="00E60901">
      <w:pPr>
        <w:pStyle w:val="FootnoteText"/>
      </w:pPr>
      <w:r>
        <w:rPr>
          <w:rStyle w:val="FootnoteReference"/>
        </w:rPr>
        <w:footnoteRef/>
      </w:r>
      <w:r>
        <w:t xml:space="preserve"> The PAM is a tool designed to measure the level to which people feel engaged and confident in taking care of their condition. Further information is available here:</w:t>
      </w:r>
      <w:hyperlink r:id="rId10" w:history="1">
        <w:r w:rsidRPr="00090656">
          <w:rPr>
            <w:rStyle w:val="Hyperlink"/>
          </w:rPr>
          <w:t>https://www.england.nhs.uk/personalisedcare/supported-self-management/patient-activation/pa-faqs/</w:t>
        </w:r>
      </w:hyperlink>
    </w:p>
  </w:footnote>
  <w:footnote w:id="13">
    <w:p w14:paraId="298D566C" w14:textId="77777777" w:rsidR="00E60901" w:rsidRDefault="00E60901" w:rsidP="004B2E1F">
      <w:pPr>
        <w:pStyle w:val="FootnoteText"/>
      </w:pPr>
      <w:r>
        <w:rPr>
          <w:rStyle w:val="FootnoteReference"/>
        </w:rPr>
        <w:footnoteRef/>
      </w:r>
      <w:r>
        <w:t xml:space="preserve"> Safety netting is defined for these purposes as ensuring attendance at appointments following urgent referrals for suspected cancer the results of investigations are received and acted upon appropriately and reviewing people with </w:t>
      </w:r>
      <w:r w:rsidRPr="005676CB">
        <w:t>any symptom that is associated with an increased risk of cancer but who do not meet the criteria for referral or other investigative action</w:t>
      </w:r>
      <w:r>
        <w:t xml:space="preserve">. </w:t>
      </w:r>
    </w:p>
  </w:footnote>
  <w:footnote w:id="14">
    <w:p w14:paraId="2E393BC3" w14:textId="77777777" w:rsidR="00E60901" w:rsidRDefault="00E60901">
      <w:pPr>
        <w:pStyle w:val="FootnoteText"/>
      </w:pPr>
      <w:r>
        <w:rPr>
          <w:rStyle w:val="FootnoteReference"/>
        </w:rPr>
        <w:footnoteRef/>
      </w:r>
      <w:r>
        <w:t xml:space="preserve"> NG12</w:t>
      </w:r>
      <w:r w:rsidRPr="00B2462B">
        <w:t xml:space="preserve"> recommends considering a review for people with any symptom that is associated with an increased risk of cancer</w:t>
      </w:r>
      <w:r>
        <w:t xml:space="preserve"> where the GP has a concern</w:t>
      </w:r>
      <w:r w:rsidRPr="00B2462B">
        <w:t>, but who do not meet the criteria for referral or other investigative action. The review may be planned within a time frame agreed with the person or patient-initiated if new symptoms develop, the person continues to be concerned or their symptoms recur, persist or worsen.</w:t>
      </w:r>
      <w:r>
        <w:t xml:space="preserve"> GP IT systems are structured to enable this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E3F3" w14:textId="367F74C4" w:rsidR="00E60901" w:rsidRDefault="00E60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47D9" w14:textId="52AF583F" w:rsidR="00E60901" w:rsidRPr="00CF7277" w:rsidRDefault="00E60901">
    <w:pPr>
      <w:pStyle w:val="Header"/>
      <w:rPr>
        <w:color w:val="FF0000"/>
      </w:rPr>
    </w:pPr>
    <w:r>
      <w:rPr>
        <w:color w:val="FF0000"/>
      </w:rPr>
      <w:t xml:space="preserve">CONFIDENTIAL </w:t>
    </w:r>
    <w:r w:rsidRPr="00CF7277">
      <w:rPr>
        <w:color w:val="FF0000"/>
      </w:rPr>
      <w:t>DRAFT – NOT A STATEMENT OF NHSE/I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5F2C" w14:textId="641937D3" w:rsidR="00E60901" w:rsidRDefault="00E60901">
    <w:pPr>
      <w:pStyle w:val="Header"/>
    </w:pPr>
    <w:r>
      <w:t>CONFIDENTIAL DRAFT – NOT A STATEMENT OF NHSE/I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788"/>
    <w:multiLevelType w:val="hybridMultilevel"/>
    <w:tmpl w:val="F5B0E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81EC6"/>
    <w:multiLevelType w:val="hybridMultilevel"/>
    <w:tmpl w:val="B0F4F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152397"/>
    <w:multiLevelType w:val="hybridMultilevel"/>
    <w:tmpl w:val="1FEA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F5419"/>
    <w:multiLevelType w:val="hybridMultilevel"/>
    <w:tmpl w:val="F21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D559B"/>
    <w:multiLevelType w:val="hybridMultilevel"/>
    <w:tmpl w:val="BDEE0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70030"/>
    <w:multiLevelType w:val="hybridMultilevel"/>
    <w:tmpl w:val="B6264A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6433A02"/>
    <w:multiLevelType w:val="multilevel"/>
    <w:tmpl w:val="187CA416"/>
    <w:lvl w:ilvl="0">
      <w:start w:val="1"/>
      <w:numFmt w:val="decimal"/>
      <w:lvlText w:val="%1"/>
      <w:lvlJc w:val="left"/>
      <w:pPr>
        <w:ind w:left="360" w:hanging="360"/>
      </w:pPr>
      <w:rPr>
        <w:rFonts w:hint="default"/>
        <w:b/>
        <w:color w:val="202A30"/>
      </w:rPr>
    </w:lvl>
    <w:lvl w:ilvl="1">
      <w:start w:val="4"/>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7" w15:restartNumberingAfterBreak="0">
    <w:nsid w:val="172C344D"/>
    <w:multiLevelType w:val="multilevel"/>
    <w:tmpl w:val="64D0D46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F745AA"/>
    <w:multiLevelType w:val="hybridMultilevel"/>
    <w:tmpl w:val="8F80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05DA"/>
    <w:multiLevelType w:val="multilevel"/>
    <w:tmpl w:val="496E641E"/>
    <w:lvl w:ilvl="0">
      <w:start w:val="1"/>
      <w:numFmt w:val="decimal"/>
      <w:lvlText w:val="%1"/>
      <w:lvlJc w:val="left"/>
      <w:pPr>
        <w:ind w:left="360" w:hanging="360"/>
      </w:pPr>
      <w:rPr>
        <w:rFonts w:hint="default"/>
        <w:color w:val="202A30"/>
      </w:rPr>
    </w:lvl>
    <w:lvl w:ilvl="1">
      <w:start w:val="1"/>
      <w:numFmt w:val="decimal"/>
      <w:lvlText w:val="%1.%2"/>
      <w:lvlJc w:val="left"/>
      <w:pPr>
        <w:ind w:left="360" w:hanging="360"/>
      </w:pPr>
      <w:rPr>
        <w:rFonts w:hint="default"/>
        <w:color w:val="202A30"/>
      </w:rPr>
    </w:lvl>
    <w:lvl w:ilvl="2">
      <w:start w:val="1"/>
      <w:numFmt w:val="decimal"/>
      <w:lvlText w:val="%1.%2.%3"/>
      <w:lvlJc w:val="left"/>
      <w:pPr>
        <w:ind w:left="720" w:hanging="720"/>
      </w:pPr>
      <w:rPr>
        <w:rFonts w:hint="default"/>
        <w:color w:val="202A30"/>
      </w:rPr>
    </w:lvl>
    <w:lvl w:ilvl="3">
      <w:start w:val="1"/>
      <w:numFmt w:val="decimal"/>
      <w:lvlText w:val="%1.%2.%3.%4"/>
      <w:lvlJc w:val="left"/>
      <w:pPr>
        <w:ind w:left="1080" w:hanging="1080"/>
      </w:pPr>
      <w:rPr>
        <w:rFonts w:hint="default"/>
        <w:color w:val="202A30"/>
      </w:rPr>
    </w:lvl>
    <w:lvl w:ilvl="4">
      <w:start w:val="1"/>
      <w:numFmt w:val="decimal"/>
      <w:lvlText w:val="%1.%2.%3.%4.%5"/>
      <w:lvlJc w:val="left"/>
      <w:pPr>
        <w:ind w:left="1080" w:hanging="1080"/>
      </w:pPr>
      <w:rPr>
        <w:rFonts w:hint="default"/>
        <w:color w:val="202A30"/>
      </w:rPr>
    </w:lvl>
    <w:lvl w:ilvl="5">
      <w:start w:val="1"/>
      <w:numFmt w:val="decimal"/>
      <w:lvlText w:val="%1.%2.%3.%4.%5.%6"/>
      <w:lvlJc w:val="left"/>
      <w:pPr>
        <w:ind w:left="1440" w:hanging="1440"/>
      </w:pPr>
      <w:rPr>
        <w:rFonts w:hint="default"/>
        <w:color w:val="202A30"/>
      </w:rPr>
    </w:lvl>
    <w:lvl w:ilvl="6">
      <w:start w:val="1"/>
      <w:numFmt w:val="decimal"/>
      <w:lvlText w:val="%1.%2.%3.%4.%5.%6.%7"/>
      <w:lvlJc w:val="left"/>
      <w:pPr>
        <w:ind w:left="1440" w:hanging="1440"/>
      </w:pPr>
      <w:rPr>
        <w:rFonts w:hint="default"/>
        <w:color w:val="202A30"/>
      </w:rPr>
    </w:lvl>
    <w:lvl w:ilvl="7">
      <w:start w:val="1"/>
      <w:numFmt w:val="decimal"/>
      <w:lvlText w:val="%1.%2.%3.%4.%5.%6.%7.%8"/>
      <w:lvlJc w:val="left"/>
      <w:pPr>
        <w:ind w:left="1800" w:hanging="1800"/>
      </w:pPr>
      <w:rPr>
        <w:rFonts w:hint="default"/>
        <w:color w:val="202A30"/>
      </w:rPr>
    </w:lvl>
    <w:lvl w:ilvl="8">
      <w:start w:val="1"/>
      <w:numFmt w:val="decimal"/>
      <w:lvlText w:val="%1.%2.%3.%4.%5.%6.%7.%8.%9"/>
      <w:lvlJc w:val="left"/>
      <w:pPr>
        <w:ind w:left="1800" w:hanging="1800"/>
      </w:pPr>
      <w:rPr>
        <w:rFonts w:hint="default"/>
        <w:color w:val="202A30"/>
      </w:rPr>
    </w:lvl>
  </w:abstractNum>
  <w:abstractNum w:abstractNumId="10" w15:restartNumberingAfterBreak="0">
    <w:nsid w:val="1D7E1E21"/>
    <w:multiLevelType w:val="multilevel"/>
    <w:tmpl w:val="C750E2AE"/>
    <w:lvl w:ilvl="0">
      <w:start w:val="2"/>
      <w:numFmt w:val="decimal"/>
      <w:lvlText w:val="%1"/>
      <w:lvlJc w:val="left"/>
      <w:pPr>
        <w:ind w:left="360" w:hanging="36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EA83D1D"/>
    <w:multiLevelType w:val="hybridMultilevel"/>
    <w:tmpl w:val="63F2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73016F"/>
    <w:multiLevelType w:val="multilevel"/>
    <w:tmpl w:val="94C4C772"/>
    <w:lvl w:ilvl="0">
      <w:start w:val="1"/>
      <w:numFmt w:val="decimal"/>
      <w:lvlText w:val="%1"/>
      <w:lvlJc w:val="left"/>
      <w:pPr>
        <w:ind w:left="360" w:hanging="360"/>
      </w:pPr>
      <w:rPr>
        <w:rFonts w:hint="default"/>
        <w:b/>
        <w:color w:val="202A30"/>
      </w:rPr>
    </w:lvl>
    <w:lvl w:ilvl="1">
      <w:start w:val="5"/>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13" w15:restartNumberingAfterBreak="0">
    <w:nsid w:val="22F96598"/>
    <w:multiLevelType w:val="hybridMultilevel"/>
    <w:tmpl w:val="76A0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51833"/>
    <w:multiLevelType w:val="multilevel"/>
    <w:tmpl w:val="1ED07256"/>
    <w:lvl w:ilvl="0">
      <w:start w:val="1"/>
      <w:numFmt w:val="bullet"/>
      <w:lvlText w:val=""/>
      <w:lvlJc w:val="left"/>
      <w:pPr>
        <w:ind w:left="855" w:hanging="360"/>
      </w:pPr>
      <w:rPr>
        <w:rFonts w:ascii="Symbol" w:hAnsi="Symbol" w:hint="default"/>
      </w:rPr>
    </w:lvl>
    <w:lvl w:ilvl="1">
      <w:start w:val="1"/>
      <w:numFmt w:val="decimal"/>
      <w:lvlText w:val="%1.%2."/>
      <w:lvlJc w:val="left"/>
      <w:pPr>
        <w:ind w:left="1287" w:hanging="432"/>
      </w:pPr>
    </w:lvl>
    <w:lvl w:ilvl="2">
      <w:start w:val="1"/>
      <w:numFmt w:val="decimal"/>
      <w:lvlText w:val="%1.%2.%3."/>
      <w:lvlJc w:val="left"/>
      <w:pPr>
        <w:ind w:left="1719" w:hanging="504"/>
      </w:pPr>
    </w:lvl>
    <w:lvl w:ilvl="3">
      <w:start w:val="1"/>
      <w:numFmt w:val="decimal"/>
      <w:lvlText w:val="%1.%2.%3.%4."/>
      <w:lvlJc w:val="left"/>
      <w:pPr>
        <w:ind w:left="2223" w:hanging="648"/>
      </w:pPr>
    </w:lvl>
    <w:lvl w:ilvl="4">
      <w:start w:val="1"/>
      <w:numFmt w:val="decimal"/>
      <w:lvlText w:val="%1.%2.%3.%4.%5."/>
      <w:lvlJc w:val="left"/>
      <w:pPr>
        <w:ind w:left="2727" w:hanging="792"/>
      </w:pPr>
    </w:lvl>
    <w:lvl w:ilvl="5">
      <w:start w:val="1"/>
      <w:numFmt w:val="decimal"/>
      <w:lvlText w:val="%1.%2.%3.%4.%5.%6."/>
      <w:lvlJc w:val="left"/>
      <w:pPr>
        <w:ind w:left="3231" w:hanging="936"/>
      </w:pPr>
    </w:lvl>
    <w:lvl w:ilvl="6">
      <w:start w:val="1"/>
      <w:numFmt w:val="decimal"/>
      <w:lvlText w:val="%1.%2.%3.%4.%5.%6.%7."/>
      <w:lvlJc w:val="left"/>
      <w:pPr>
        <w:ind w:left="3735" w:hanging="1080"/>
      </w:pPr>
    </w:lvl>
    <w:lvl w:ilvl="7">
      <w:start w:val="1"/>
      <w:numFmt w:val="decimal"/>
      <w:lvlText w:val="%1.%2.%3.%4.%5.%6.%7.%8."/>
      <w:lvlJc w:val="left"/>
      <w:pPr>
        <w:ind w:left="4239" w:hanging="1224"/>
      </w:pPr>
    </w:lvl>
    <w:lvl w:ilvl="8">
      <w:start w:val="1"/>
      <w:numFmt w:val="decimal"/>
      <w:lvlText w:val="%1.%2.%3.%4.%5.%6.%7.%8.%9."/>
      <w:lvlJc w:val="left"/>
      <w:pPr>
        <w:ind w:left="4815" w:hanging="1440"/>
      </w:pPr>
    </w:lvl>
  </w:abstractNum>
  <w:abstractNum w:abstractNumId="15" w15:restartNumberingAfterBreak="0">
    <w:nsid w:val="24E46D69"/>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16" w15:restartNumberingAfterBreak="0">
    <w:nsid w:val="26361A5F"/>
    <w:multiLevelType w:val="hybridMultilevel"/>
    <w:tmpl w:val="7E6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27A15"/>
    <w:multiLevelType w:val="hybridMultilevel"/>
    <w:tmpl w:val="89366C7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A00078F"/>
    <w:multiLevelType w:val="hybridMultilevel"/>
    <w:tmpl w:val="67CA0E8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2A7912EF"/>
    <w:multiLevelType w:val="hybridMultilevel"/>
    <w:tmpl w:val="4EE03DBA"/>
    <w:lvl w:ilvl="0" w:tplc="08090003">
      <w:start w:val="1"/>
      <w:numFmt w:val="bullet"/>
      <w:lvlText w:val="o"/>
      <w:lvlJc w:val="left"/>
      <w:pPr>
        <w:ind w:left="1960" w:hanging="360"/>
      </w:pPr>
      <w:rPr>
        <w:rFonts w:ascii="Courier New" w:hAnsi="Courier New" w:cs="Courier New" w:hint="default"/>
      </w:rPr>
    </w:lvl>
    <w:lvl w:ilvl="1" w:tplc="2C5E7B56">
      <w:numFmt w:val="bullet"/>
      <w:lvlText w:val="•"/>
      <w:lvlJc w:val="left"/>
      <w:pPr>
        <w:ind w:left="3040" w:hanging="720"/>
      </w:pPr>
      <w:rPr>
        <w:rFonts w:ascii="Arial" w:eastAsiaTheme="minorHAnsi" w:hAnsi="Arial" w:cs="Arial"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20" w15:restartNumberingAfterBreak="0">
    <w:nsid w:val="2BA45F58"/>
    <w:multiLevelType w:val="hybridMultilevel"/>
    <w:tmpl w:val="F6A2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445045"/>
    <w:multiLevelType w:val="hybridMultilevel"/>
    <w:tmpl w:val="5A5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0036A"/>
    <w:multiLevelType w:val="hybridMultilevel"/>
    <w:tmpl w:val="70DE65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3E35B33"/>
    <w:multiLevelType w:val="hybridMultilevel"/>
    <w:tmpl w:val="1F72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4607F3F"/>
    <w:multiLevelType w:val="hybridMultilevel"/>
    <w:tmpl w:val="AB66E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2D4063"/>
    <w:multiLevelType w:val="hybridMultilevel"/>
    <w:tmpl w:val="E952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E0182B"/>
    <w:multiLevelType w:val="hybridMultilevel"/>
    <w:tmpl w:val="5FD261D2"/>
    <w:lvl w:ilvl="0" w:tplc="08090001">
      <w:start w:val="1"/>
      <w:numFmt w:val="bullet"/>
      <w:lvlText w:val=""/>
      <w:lvlJc w:val="left"/>
      <w:pPr>
        <w:ind w:left="425" w:hanging="360"/>
      </w:pPr>
      <w:rPr>
        <w:rFonts w:ascii="Symbol" w:hAnsi="Symbol" w:hint="default"/>
      </w:rPr>
    </w:lvl>
    <w:lvl w:ilvl="1" w:tplc="08090003">
      <w:start w:val="1"/>
      <w:numFmt w:val="bullet"/>
      <w:lvlText w:val="o"/>
      <w:lvlJc w:val="left"/>
      <w:pPr>
        <w:ind w:left="1304" w:hanging="360"/>
      </w:pPr>
      <w:rPr>
        <w:rFonts w:ascii="Courier New" w:hAnsi="Courier New" w:cs="Courier New" w:hint="default"/>
      </w:rPr>
    </w:lvl>
    <w:lvl w:ilvl="2" w:tplc="08090005">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27" w15:restartNumberingAfterBreak="0">
    <w:nsid w:val="366F0505"/>
    <w:multiLevelType w:val="hybridMultilevel"/>
    <w:tmpl w:val="3D289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A5162B"/>
    <w:multiLevelType w:val="hybridMultilevel"/>
    <w:tmpl w:val="403EF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06678D"/>
    <w:multiLevelType w:val="hybridMultilevel"/>
    <w:tmpl w:val="A17C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150742"/>
    <w:multiLevelType w:val="hybridMultilevel"/>
    <w:tmpl w:val="32704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4D0B9E"/>
    <w:multiLevelType w:val="hybridMultilevel"/>
    <w:tmpl w:val="7438F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99D6D94"/>
    <w:multiLevelType w:val="hybridMultilevel"/>
    <w:tmpl w:val="07F6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AE60C1"/>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34" w15:restartNumberingAfterBreak="0">
    <w:nsid w:val="3B491467"/>
    <w:multiLevelType w:val="hybridMultilevel"/>
    <w:tmpl w:val="E1D0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512F20"/>
    <w:multiLevelType w:val="multilevel"/>
    <w:tmpl w:val="35E87D74"/>
    <w:lvl w:ilvl="0">
      <w:start w:val="4"/>
      <w:numFmt w:val="decimal"/>
      <w:lvlText w:val="%1"/>
      <w:lvlJc w:val="left"/>
      <w:pPr>
        <w:ind w:left="360" w:hanging="360"/>
      </w:pPr>
      <w:rPr>
        <w:rFonts w:cs="Arial" w:hint="default"/>
      </w:rPr>
    </w:lvl>
    <w:lvl w:ilvl="1">
      <w:start w:val="1"/>
      <w:numFmt w:val="decimal"/>
      <w:lvlText w:val="%1.%2"/>
      <w:lvlJc w:val="left"/>
      <w:pPr>
        <w:ind w:left="567" w:hanging="567"/>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6" w15:restartNumberingAfterBreak="0">
    <w:nsid w:val="3C83358C"/>
    <w:multiLevelType w:val="hybridMultilevel"/>
    <w:tmpl w:val="14EAD7F0"/>
    <w:lvl w:ilvl="0" w:tplc="08090003">
      <w:start w:val="1"/>
      <w:numFmt w:val="bullet"/>
      <w:lvlText w:val="o"/>
      <w:lvlJc w:val="left"/>
      <w:pPr>
        <w:ind w:left="315" w:hanging="360"/>
      </w:pPr>
      <w:rPr>
        <w:rFonts w:ascii="Courier New" w:hAnsi="Courier New" w:cs="Courier New" w:hint="default"/>
      </w:rPr>
    </w:lvl>
    <w:lvl w:ilvl="1" w:tplc="08090003">
      <w:start w:val="1"/>
      <w:numFmt w:val="bullet"/>
      <w:lvlText w:val="o"/>
      <w:lvlJc w:val="left"/>
      <w:pPr>
        <w:ind w:left="1035" w:hanging="360"/>
      </w:pPr>
      <w:rPr>
        <w:rFonts w:ascii="Courier New" w:hAnsi="Courier New" w:cs="Courier New" w:hint="default"/>
      </w:rPr>
    </w:lvl>
    <w:lvl w:ilvl="2" w:tplc="08090005">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7" w15:restartNumberingAfterBreak="0">
    <w:nsid w:val="3F031C07"/>
    <w:multiLevelType w:val="hybridMultilevel"/>
    <w:tmpl w:val="D1345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34658B"/>
    <w:multiLevelType w:val="hybridMultilevel"/>
    <w:tmpl w:val="994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134213"/>
    <w:multiLevelType w:val="hybridMultilevel"/>
    <w:tmpl w:val="080AAF4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805B8B"/>
    <w:multiLevelType w:val="hybridMultilevel"/>
    <w:tmpl w:val="5A76F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9C66D6A"/>
    <w:multiLevelType w:val="hybridMultilevel"/>
    <w:tmpl w:val="A5705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B5714D8"/>
    <w:multiLevelType w:val="hybridMultilevel"/>
    <w:tmpl w:val="AE5EE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4D76797B"/>
    <w:multiLevelType w:val="multilevel"/>
    <w:tmpl w:val="43CE9B84"/>
    <w:lvl w:ilvl="0">
      <w:start w:val="1"/>
      <w:numFmt w:val="decimal"/>
      <w:lvlText w:val="%1."/>
      <w:lvlJc w:val="left"/>
      <w:pPr>
        <w:ind w:left="1440" w:hanging="360"/>
      </w:pPr>
    </w:lvl>
    <w:lvl w:ilvl="1">
      <w:start w:val="3"/>
      <w:numFmt w:val="decimal"/>
      <w:isLgl/>
      <w:lvlText w:val="%1.%2"/>
      <w:lvlJc w:val="left"/>
      <w:pPr>
        <w:ind w:left="146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4FB753DA"/>
    <w:multiLevelType w:val="hybridMultilevel"/>
    <w:tmpl w:val="3704F146"/>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0603215"/>
    <w:multiLevelType w:val="multilevel"/>
    <w:tmpl w:val="69D44078"/>
    <w:lvl w:ilvl="0">
      <w:start w:val="3"/>
      <w:numFmt w:val="decimal"/>
      <w:lvlText w:val="%1"/>
      <w:lvlJc w:val="left"/>
      <w:pPr>
        <w:ind w:left="360" w:hanging="360"/>
      </w:pPr>
      <w:rPr>
        <w:rFonts w:hint="default"/>
        <w:color w:val="202A30"/>
      </w:rPr>
    </w:lvl>
    <w:lvl w:ilvl="1">
      <w:start w:val="1"/>
      <w:numFmt w:val="decimal"/>
      <w:lvlText w:val="%1.%2"/>
      <w:lvlJc w:val="left"/>
      <w:pPr>
        <w:ind w:left="567" w:hanging="567"/>
      </w:pPr>
      <w:rPr>
        <w:rFonts w:hint="default"/>
        <w:color w:val="202A30"/>
      </w:rPr>
    </w:lvl>
    <w:lvl w:ilvl="2">
      <w:start w:val="1"/>
      <w:numFmt w:val="decimal"/>
      <w:lvlText w:val="%1.%2.%3"/>
      <w:lvlJc w:val="left"/>
      <w:pPr>
        <w:ind w:left="720" w:hanging="720"/>
      </w:pPr>
      <w:rPr>
        <w:rFonts w:hint="default"/>
        <w:color w:val="202A30"/>
      </w:rPr>
    </w:lvl>
    <w:lvl w:ilvl="3">
      <w:start w:val="1"/>
      <w:numFmt w:val="decimal"/>
      <w:lvlText w:val="%1.%2.%3.%4"/>
      <w:lvlJc w:val="left"/>
      <w:pPr>
        <w:ind w:left="1080" w:hanging="1080"/>
      </w:pPr>
      <w:rPr>
        <w:rFonts w:hint="default"/>
        <w:color w:val="202A30"/>
      </w:rPr>
    </w:lvl>
    <w:lvl w:ilvl="4">
      <w:start w:val="1"/>
      <w:numFmt w:val="decimal"/>
      <w:lvlText w:val="%1.%2.%3.%4.%5"/>
      <w:lvlJc w:val="left"/>
      <w:pPr>
        <w:ind w:left="1080" w:hanging="1080"/>
      </w:pPr>
      <w:rPr>
        <w:rFonts w:hint="default"/>
        <w:color w:val="202A30"/>
      </w:rPr>
    </w:lvl>
    <w:lvl w:ilvl="5">
      <w:start w:val="1"/>
      <w:numFmt w:val="decimal"/>
      <w:lvlText w:val="%1.%2.%3.%4.%5.%6"/>
      <w:lvlJc w:val="left"/>
      <w:pPr>
        <w:ind w:left="1440" w:hanging="1440"/>
      </w:pPr>
      <w:rPr>
        <w:rFonts w:hint="default"/>
        <w:color w:val="202A30"/>
      </w:rPr>
    </w:lvl>
    <w:lvl w:ilvl="6">
      <w:start w:val="1"/>
      <w:numFmt w:val="decimal"/>
      <w:lvlText w:val="%1.%2.%3.%4.%5.%6.%7"/>
      <w:lvlJc w:val="left"/>
      <w:pPr>
        <w:ind w:left="1440" w:hanging="1440"/>
      </w:pPr>
      <w:rPr>
        <w:rFonts w:hint="default"/>
        <w:color w:val="202A30"/>
      </w:rPr>
    </w:lvl>
    <w:lvl w:ilvl="7">
      <w:start w:val="1"/>
      <w:numFmt w:val="decimal"/>
      <w:lvlText w:val="%1.%2.%3.%4.%5.%6.%7.%8"/>
      <w:lvlJc w:val="left"/>
      <w:pPr>
        <w:ind w:left="1800" w:hanging="1800"/>
      </w:pPr>
      <w:rPr>
        <w:rFonts w:hint="default"/>
        <w:color w:val="202A30"/>
      </w:rPr>
    </w:lvl>
    <w:lvl w:ilvl="8">
      <w:start w:val="1"/>
      <w:numFmt w:val="decimal"/>
      <w:lvlText w:val="%1.%2.%3.%4.%5.%6.%7.%8.%9"/>
      <w:lvlJc w:val="left"/>
      <w:pPr>
        <w:ind w:left="1800" w:hanging="1800"/>
      </w:pPr>
      <w:rPr>
        <w:rFonts w:hint="default"/>
        <w:color w:val="202A30"/>
      </w:rPr>
    </w:lvl>
  </w:abstractNum>
  <w:abstractNum w:abstractNumId="48" w15:restartNumberingAfterBreak="0">
    <w:nsid w:val="50A2150F"/>
    <w:multiLevelType w:val="hybridMultilevel"/>
    <w:tmpl w:val="456CD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6B02EE"/>
    <w:multiLevelType w:val="multilevel"/>
    <w:tmpl w:val="BE241B6A"/>
    <w:lvl w:ilvl="0">
      <w:start w:val="1"/>
      <w:numFmt w:val="decimal"/>
      <w:lvlText w:val="%1"/>
      <w:lvlJc w:val="left"/>
      <w:pPr>
        <w:ind w:left="360" w:hanging="360"/>
      </w:pPr>
      <w:rPr>
        <w:rFonts w:hint="default"/>
        <w:b/>
        <w:color w:val="202A30"/>
      </w:rPr>
    </w:lvl>
    <w:lvl w:ilvl="1">
      <w:start w:val="6"/>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50" w15:restartNumberingAfterBreak="0">
    <w:nsid w:val="55A02459"/>
    <w:multiLevelType w:val="multilevel"/>
    <w:tmpl w:val="53D224D4"/>
    <w:lvl w:ilvl="0">
      <w:start w:val="1"/>
      <w:numFmt w:val="decimal"/>
      <w:lvlText w:val="%1"/>
      <w:lvlJc w:val="left"/>
      <w:pPr>
        <w:ind w:left="360" w:hanging="360"/>
      </w:pPr>
      <w:rPr>
        <w:rFonts w:hint="default"/>
        <w:b/>
        <w:color w:val="202A30"/>
      </w:rPr>
    </w:lvl>
    <w:lvl w:ilvl="1">
      <w:start w:val="6"/>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51" w15:restartNumberingAfterBreak="0">
    <w:nsid w:val="57400720"/>
    <w:multiLevelType w:val="hybridMultilevel"/>
    <w:tmpl w:val="146E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1B531A"/>
    <w:multiLevelType w:val="hybridMultilevel"/>
    <w:tmpl w:val="A4107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B4362D9"/>
    <w:multiLevelType w:val="hybridMultilevel"/>
    <w:tmpl w:val="D05C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5442E1C"/>
    <w:multiLevelType w:val="hybridMultilevel"/>
    <w:tmpl w:val="68A04A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0205BC"/>
    <w:multiLevelType w:val="hybridMultilevel"/>
    <w:tmpl w:val="35126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7945409"/>
    <w:multiLevelType w:val="hybridMultilevel"/>
    <w:tmpl w:val="6016B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7B00C23"/>
    <w:multiLevelType w:val="hybridMultilevel"/>
    <w:tmpl w:val="9E84B2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FF531C"/>
    <w:multiLevelType w:val="multilevel"/>
    <w:tmpl w:val="F89E83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7B6593"/>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60" w15:restartNumberingAfterBreak="0">
    <w:nsid w:val="71BD295C"/>
    <w:multiLevelType w:val="hybridMultilevel"/>
    <w:tmpl w:val="2070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3F1DDB"/>
    <w:multiLevelType w:val="hybridMultilevel"/>
    <w:tmpl w:val="31749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4D2E1F"/>
    <w:multiLevelType w:val="multilevel"/>
    <w:tmpl w:val="B6987E46"/>
    <w:lvl w:ilvl="0">
      <w:start w:val="1"/>
      <w:numFmt w:val="decimal"/>
      <w:lvlText w:val="%1."/>
      <w:lvlJc w:val="left"/>
      <w:pPr>
        <w:ind w:left="360" w:hanging="360"/>
      </w:pPr>
      <w:rPr>
        <w:rFonts w:hint="default"/>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B740D5"/>
    <w:multiLevelType w:val="hybridMultilevel"/>
    <w:tmpl w:val="F96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FA3B54"/>
    <w:multiLevelType w:val="hybridMultilevel"/>
    <w:tmpl w:val="F32C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73B659F"/>
    <w:multiLevelType w:val="multilevel"/>
    <w:tmpl w:val="FFC28122"/>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7F677CE"/>
    <w:multiLevelType w:val="multilevel"/>
    <w:tmpl w:val="F89E83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C981986"/>
    <w:multiLevelType w:val="hybridMultilevel"/>
    <w:tmpl w:val="AF90AE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D77450"/>
    <w:multiLevelType w:val="hybridMultilevel"/>
    <w:tmpl w:val="788E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2"/>
  </w:num>
  <w:num w:numId="2">
    <w:abstractNumId w:val="14"/>
  </w:num>
  <w:num w:numId="3">
    <w:abstractNumId w:val="23"/>
  </w:num>
  <w:num w:numId="4">
    <w:abstractNumId w:val="12"/>
  </w:num>
  <w:num w:numId="5">
    <w:abstractNumId w:val="22"/>
  </w:num>
  <w:num w:numId="6">
    <w:abstractNumId w:val="63"/>
  </w:num>
  <w:num w:numId="7">
    <w:abstractNumId w:val="28"/>
  </w:num>
  <w:num w:numId="8">
    <w:abstractNumId w:val="17"/>
  </w:num>
  <w:num w:numId="9">
    <w:abstractNumId w:val="60"/>
  </w:num>
  <w:num w:numId="10">
    <w:abstractNumId w:val="51"/>
  </w:num>
  <w:num w:numId="11">
    <w:abstractNumId w:val="18"/>
  </w:num>
  <w:num w:numId="12">
    <w:abstractNumId w:val="45"/>
  </w:num>
  <w:num w:numId="13">
    <w:abstractNumId w:val="56"/>
  </w:num>
  <w:num w:numId="14">
    <w:abstractNumId w:val="26"/>
  </w:num>
  <w:num w:numId="15">
    <w:abstractNumId w:val="68"/>
  </w:num>
  <w:num w:numId="16">
    <w:abstractNumId w:val="61"/>
  </w:num>
  <w:num w:numId="17">
    <w:abstractNumId w:val="42"/>
  </w:num>
  <w:num w:numId="18">
    <w:abstractNumId w:val="48"/>
  </w:num>
  <w:num w:numId="1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4"/>
  </w:num>
  <w:num w:numId="22">
    <w:abstractNumId w:val="25"/>
  </w:num>
  <w:num w:numId="23">
    <w:abstractNumId w:val="10"/>
  </w:num>
  <w:num w:numId="24">
    <w:abstractNumId w:val="47"/>
  </w:num>
  <w:num w:numId="25">
    <w:abstractNumId w:val="19"/>
  </w:num>
  <w:num w:numId="26">
    <w:abstractNumId w:val="31"/>
  </w:num>
  <w:num w:numId="27">
    <w:abstractNumId w:val="41"/>
  </w:num>
  <w:num w:numId="28">
    <w:abstractNumId w:val="27"/>
  </w:num>
  <w:num w:numId="29">
    <w:abstractNumId w:val="36"/>
  </w:num>
  <w:num w:numId="30">
    <w:abstractNumId w:val="40"/>
  </w:num>
  <w:num w:numId="31">
    <w:abstractNumId w:val="35"/>
  </w:num>
  <w:num w:numId="32">
    <w:abstractNumId w:val="57"/>
  </w:num>
  <w:num w:numId="33">
    <w:abstractNumId w:val="16"/>
  </w:num>
  <w:num w:numId="34">
    <w:abstractNumId w:val="65"/>
  </w:num>
  <w:num w:numId="35">
    <w:abstractNumId w:val="54"/>
  </w:num>
  <w:num w:numId="36">
    <w:abstractNumId w:val="21"/>
  </w:num>
  <w:num w:numId="37">
    <w:abstractNumId w:val="11"/>
  </w:num>
  <w:num w:numId="38">
    <w:abstractNumId w:val="20"/>
  </w:num>
  <w:num w:numId="39">
    <w:abstractNumId w:val="0"/>
  </w:num>
  <w:num w:numId="40">
    <w:abstractNumId w:val="5"/>
  </w:num>
  <w:num w:numId="41">
    <w:abstractNumId w:val="44"/>
  </w:num>
  <w:num w:numId="42">
    <w:abstractNumId w:val="38"/>
  </w:num>
  <w:num w:numId="43">
    <w:abstractNumId w:val="66"/>
  </w:num>
  <w:num w:numId="44">
    <w:abstractNumId w:val="58"/>
  </w:num>
  <w:num w:numId="45">
    <w:abstractNumId w:val="49"/>
  </w:num>
  <w:num w:numId="46">
    <w:abstractNumId w:val="9"/>
  </w:num>
  <w:num w:numId="47">
    <w:abstractNumId w:val="32"/>
  </w:num>
  <w:num w:numId="48">
    <w:abstractNumId w:val="34"/>
  </w:num>
  <w:num w:numId="49">
    <w:abstractNumId w:val="50"/>
  </w:num>
  <w:num w:numId="50">
    <w:abstractNumId w:val="6"/>
  </w:num>
  <w:num w:numId="51">
    <w:abstractNumId w:val="59"/>
  </w:num>
  <w:num w:numId="52">
    <w:abstractNumId w:val="33"/>
  </w:num>
  <w:num w:numId="53">
    <w:abstractNumId w:val="15"/>
  </w:num>
  <w:num w:numId="54">
    <w:abstractNumId w:val="13"/>
  </w:num>
  <w:num w:numId="55">
    <w:abstractNumId w:val="1"/>
  </w:num>
  <w:num w:numId="56">
    <w:abstractNumId w:val="67"/>
  </w:num>
  <w:num w:numId="57">
    <w:abstractNumId w:val="4"/>
  </w:num>
  <w:num w:numId="58">
    <w:abstractNumId w:val="39"/>
  </w:num>
  <w:num w:numId="59">
    <w:abstractNumId w:val="29"/>
  </w:num>
  <w:num w:numId="60">
    <w:abstractNumId w:val="30"/>
  </w:num>
  <w:num w:numId="61">
    <w:abstractNumId w:val="53"/>
  </w:num>
  <w:num w:numId="62">
    <w:abstractNumId w:val="2"/>
  </w:num>
  <w:num w:numId="63">
    <w:abstractNumId w:val="24"/>
  </w:num>
  <w:num w:numId="64">
    <w:abstractNumId w:val="43"/>
  </w:num>
  <w:num w:numId="65">
    <w:abstractNumId w:val="37"/>
  </w:num>
  <w:num w:numId="66">
    <w:abstractNumId w:val="8"/>
  </w:num>
  <w:num w:numId="67">
    <w:abstractNumId w:val="52"/>
  </w:num>
  <w:num w:numId="68">
    <w:abstractNumId w:val="55"/>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1910"/>
    <w:rsid w:val="000044A7"/>
    <w:rsid w:val="0000501A"/>
    <w:rsid w:val="00010BC8"/>
    <w:rsid w:val="00010C99"/>
    <w:rsid w:val="00011C92"/>
    <w:rsid w:val="00013CE8"/>
    <w:rsid w:val="00016FBE"/>
    <w:rsid w:val="00027D76"/>
    <w:rsid w:val="00031972"/>
    <w:rsid w:val="000332BC"/>
    <w:rsid w:val="0003373E"/>
    <w:rsid w:val="0003513D"/>
    <w:rsid w:val="0003539C"/>
    <w:rsid w:val="000403A8"/>
    <w:rsid w:val="00043CEF"/>
    <w:rsid w:val="000515A1"/>
    <w:rsid w:val="000538BD"/>
    <w:rsid w:val="00056B1F"/>
    <w:rsid w:val="00056F92"/>
    <w:rsid w:val="00060FF7"/>
    <w:rsid w:val="00062425"/>
    <w:rsid w:val="00065FA8"/>
    <w:rsid w:val="000677F1"/>
    <w:rsid w:val="000724DE"/>
    <w:rsid w:val="0007278F"/>
    <w:rsid w:val="00072D0C"/>
    <w:rsid w:val="00073AC1"/>
    <w:rsid w:val="000749F6"/>
    <w:rsid w:val="00075654"/>
    <w:rsid w:val="000757BB"/>
    <w:rsid w:val="0007602A"/>
    <w:rsid w:val="00087CFA"/>
    <w:rsid w:val="00090656"/>
    <w:rsid w:val="0009161B"/>
    <w:rsid w:val="0009215A"/>
    <w:rsid w:val="000924BF"/>
    <w:rsid w:val="00092649"/>
    <w:rsid w:val="00096308"/>
    <w:rsid w:val="00096460"/>
    <w:rsid w:val="000A0F1E"/>
    <w:rsid w:val="000A2C8B"/>
    <w:rsid w:val="000A4EC3"/>
    <w:rsid w:val="000B16D5"/>
    <w:rsid w:val="000B4A22"/>
    <w:rsid w:val="000B4BA6"/>
    <w:rsid w:val="000B7735"/>
    <w:rsid w:val="000C27A5"/>
    <w:rsid w:val="000C2D9F"/>
    <w:rsid w:val="000C36C7"/>
    <w:rsid w:val="000C3A79"/>
    <w:rsid w:val="000C4839"/>
    <w:rsid w:val="000C6C5B"/>
    <w:rsid w:val="000C740E"/>
    <w:rsid w:val="000D3224"/>
    <w:rsid w:val="000D64F3"/>
    <w:rsid w:val="000E1729"/>
    <w:rsid w:val="000E1D92"/>
    <w:rsid w:val="000E2D76"/>
    <w:rsid w:val="000E2FD1"/>
    <w:rsid w:val="000E54D6"/>
    <w:rsid w:val="000E70CE"/>
    <w:rsid w:val="000F276F"/>
    <w:rsid w:val="001000CC"/>
    <w:rsid w:val="001021D8"/>
    <w:rsid w:val="00102253"/>
    <w:rsid w:val="00102EB8"/>
    <w:rsid w:val="001033E1"/>
    <w:rsid w:val="00103BB7"/>
    <w:rsid w:val="0010670D"/>
    <w:rsid w:val="00113951"/>
    <w:rsid w:val="00116EE3"/>
    <w:rsid w:val="00117133"/>
    <w:rsid w:val="0012028A"/>
    <w:rsid w:val="00120397"/>
    <w:rsid w:val="00122FC1"/>
    <w:rsid w:val="00124549"/>
    <w:rsid w:val="001248B7"/>
    <w:rsid w:val="001317C7"/>
    <w:rsid w:val="00131C25"/>
    <w:rsid w:val="001414EC"/>
    <w:rsid w:val="00142776"/>
    <w:rsid w:val="00143FA8"/>
    <w:rsid w:val="00145C54"/>
    <w:rsid w:val="0014774D"/>
    <w:rsid w:val="00151798"/>
    <w:rsid w:val="00151F77"/>
    <w:rsid w:val="0015642B"/>
    <w:rsid w:val="00163185"/>
    <w:rsid w:val="00163D6B"/>
    <w:rsid w:val="00164E28"/>
    <w:rsid w:val="00165837"/>
    <w:rsid w:val="001660C3"/>
    <w:rsid w:val="001668D0"/>
    <w:rsid w:val="00166EBF"/>
    <w:rsid w:val="001701E7"/>
    <w:rsid w:val="00176DE1"/>
    <w:rsid w:val="0017770B"/>
    <w:rsid w:val="00177844"/>
    <w:rsid w:val="00184FB8"/>
    <w:rsid w:val="00190B0A"/>
    <w:rsid w:val="001911D3"/>
    <w:rsid w:val="00191253"/>
    <w:rsid w:val="0019261D"/>
    <w:rsid w:val="0019410B"/>
    <w:rsid w:val="001955CD"/>
    <w:rsid w:val="00195D65"/>
    <w:rsid w:val="00196998"/>
    <w:rsid w:val="001A05B3"/>
    <w:rsid w:val="001A0FD9"/>
    <w:rsid w:val="001A53E5"/>
    <w:rsid w:val="001C15E7"/>
    <w:rsid w:val="001C5E82"/>
    <w:rsid w:val="001D2B75"/>
    <w:rsid w:val="001D6515"/>
    <w:rsid w:val="001D78DD"/>
    <w:rsid w:val="001E06C8"/>
    <w:rsid w:val="001E57DB"/>
    <w:rsid w:val="001F42E2"/>
    <w:rsid w:val="001F68E3"/>
    <w:rsid w:val="001F75BF"/>
    <w:rsid w:val="001F787C"/>
    <w:rsid w:val="00201083"/>
    <w:rsid w:val="002035CD"/>
    <w:rsid w:val="00207503"/>
    <w:rsid w:val="00212060"/>
    <w:rsid w:val="002124F3"/>
    <w:rsid w:val="002218F1"/>
    <w:rsid w:val="00221E10"/>
    <w:rsid w:val="002231FE"/>
    <w:rsid w:val="00232E79"/>
    <w:rsid w:val="00233340"/>
    <w:rsid w:val="0023374C"/>
    <w:rsid w:val="00235B16"/>
    <w:rsid w:val="002371B7"/>
    <w:rsid w:val="002413A3"/>
    <w:rsid w:val="00241DFA"/>
    <w:rsid w:val="00250B13"/>
    <w:rsid w:val="00252D14"/>
    <w:rsid w:val="002606EB"/>
    <w:rsid w:val="00262F32"/>
    <w:rsid w:val="00263A89"/>
    <w:rsid w:val="00266A27"/>
    <w:rsid w:val="00271528"/>
    <w:rsid w:val="00273EC4"/>
    <w:rsid w:val="00273FB4"/>
    <w:rsid w:val="002748FA"/>
    <w:rsid w:val="002762AB"/>
    <w:rsid w:val="00280BCB"/>
    <w:rsid w:val="0028236D"/>
    <w:rsid w:val="00283551"/>
    <w:rsid w:val="00284700"/>
    <w:rsid w:val="00291AA7"/>
    <w:rsid w:val="00292247"/>
    <w:rsid w:val="00294C10"/>
    <w:rsid w:val="00294D43"/>
    <w:rsid w:val="002A0A17"/>
    <w:rsid w:val="002A33A6"/>
    <w:rsid w:val="002A4F83"/>
    <w:rsid w:val="002A7B36"/>
    <w:rsid w:val="002B000A"/>
    <w:rsid w:val="002B0F8B"/>
    <w:rsid w:val="002B507C"/>
    <w:rsid w:val="002B6F8B"/>
    <w:rsid w:val="002B7822"/>
    <w:rsid w:val="002C0F25"/>
    <w:rsid w:val="002C6F0B"/>
    <w:rsid w:val="002D043D"/>
    <w:rsid w:val="002D2C69"/>
    <w:rsid w:val="002D52EE"/>
    <w:rsid w:val="002D6C93"/>
    <w:rsid w:val="002D75EB"/>
    <w:rsid w:val="002E1672"/>
    <w:rsid w:val="002E18E0"/>
    <w:rsid w:val="002E400F"/>
    <w:rsid w:val="002E48F3"/>
    <w:rsid w:val="002F0027"/>
    <w:rsid w:val="002F049D"/>
    <w:rsid w:val="002F115F"/>
    <w:rsid w:val="002F7801"/>
    <w:rsid w:val="00304B6E"/>
    <w:rsid w:val="00305D4E"/>
    <w:rsid w:val="0030735F"/>
    <w:rsid w:val="00307C9B"/>
    <w:rsid w:val="00313678"/>
    <w:rsid w:val="00315CC8"/>
    <w:rsid w:val="00320849"/>
    <w:rsid w:val="003228F4"/>
    <w:rsid w:val="003242D3"/>
    <w:rsid w:val="00324FBA"/>
    <w:rsid w:val="00331441"/>
    <w:rsid w:val="003314A8"/>
    <w:rsid w:val="0033344D"/>
    <w:rsid w:val="003336ED"/>
    <w:rsid w:val="003349EF"/>
    <w:rsid w:val="003355E4"/>
    <w:rsid w:val="00341310"/>
    <w:rsid w:val="00341AC2"/>
    <w:rsid w:val="00343836"/>
    <w:rsid w:val="00345984"/>
    <w:rsid w:val="00351521"/>
    <w:rsid w:val="00353ADC"/>
    <w:rsid w:val="00355B56"/>
    <w:rsid w:val="00357804"/>
    <w:rsid w:val="0036101B"/>
    <w:rsid w:val="00362E3C"/>
    <w:rsid w:val="0036356B"/>
    <w:rsid w:val="00365F54"/>
    <w:rsid w:val="00367A2E"/>
    <w:rsid w:val="0037056C"/>
    <w:rsid w:val="003739D8"/>
    <w:rsid w:val="00374431"/>
    <w:rsid w:val="00374AE1"/>
    <w:rsid w:val="00376B29"/>
    <w:rsid w:val="00377A1A"/>
    <w:rsid w:val="0038098C"/>
    <w:rsid w:val="00381D0D"/>
    <w:rsid w:val="00382706"/>
    <w:rsid w:val="003844E6"/>
    <w:rsid w:val="00386B12"/>
    <w:rsid w:val="003962CA"/>
    <w:rsid w:val="003972C6"/>
    <w:rsid w:val="0039736C"/>
    <w:rsid w:val="003975B8"/>
    <w:rsid w:val="0039769B"/>
    <w:rsid w:val="003A198C"/>
    <w:rsid w:val="003A37D5"/>
    <w:rsid w:val="003A5B4E"/>
    <w:rsid w:val="003A5EA0"/>
    <w:rsid w:val="003B006F"/>
    <w:rsid w:val="003B06BF"/>
    <w:rsid w:val="003B2687"/>
    <w:rsid w:val="003B7D3C"/>
    <w:rsid w:val="003C076F"/>
    <w:rsid w:val="003C262A"/>
    <w:rsid w:val="003C4FA5"/>
    <w:rsid w:val="003C5E07"/>
    <w:rsid w:val="003C75D4"/>
    <w:rsid w:val="003D24CE"/>
    <w:rsid w:val="003D4C77"/>
    <w:rsid w:val="003D6818"/>
    <w:rsid w:val="003D7928"/>
    <w:rsid w:val="003E0519"/>
    <w:rsid w:val="003E1DF3"/>
    <w:rsid w:val="003E5898"/>
    <w:rsid w:val="003E6D6D"/>
    <w:rsid w:val="003F158C"/>
    <w:rsid w:val="00400B67"/>
    <w:rsid w:val="00403179"/>
    <w:rsid w:val="00403A80"/>
    <w:rsid w:val="00410480"/>
    <w:rsid w:val="0041131D"/>
    <w:rsid w:val="00411AFE"/>
    <w:rsid w:val="00426ACA"/>
    <w:rsid w:val="0043072F"/>
    <w:rsid w:val="0043313C"/>
    <w:rsid w:val="00444E30"/>
    <w:rsid w:val="00444F6F"/>
    <w:rsid w:val="00451D07"/>
    <w:rsid w:val="00452396"/>
    <w:rsid w:val="00452D4B"/>
    <w:rsid w:val="00461533"/>
    <w:rsid w:val="00464FDA"/>
    <w:rsid w:val="00465D27"/>
    <w:rsid w:val="00466474"/>
    <w:rsid w:val="0046679C"/>
    <w:rsid w:val="004674CF"/>
    <w:rsid w:val="0047290A"/>
    <w:rsid w:val="00481D1C"/>
    <w:rsid w:val="00483C01"/>
    <w:rsid w:val="00484261"/>
    <w:rsid w:val="0048493A"/>
    <w:rsid w:val="00493F8D"/>
    <w:rsid w:val="004A3DEE"/>
    <w:rsid w:val="004A51EC"/>
    <w:rsid w:val="004A6492"/>
    <w:rsid w:val="004A72EF"/>
    <w:rsid w:val="004B1628"/>
    <w:rsid w:val="004B2746"/>
    <w:rsid w:val="004B2E1F"/>
    <w:rsid w:val="004B2FDE"/>
    <w:rsid w:val="004B4D9B"/>
    <w:rsid w:val="004B6B85"/>
    <w:rsid w:val="004C1349"/>
    <w:rsid w:val="004C392F"/>
    <w:rsid w:val="004C5149"/>
    <w:rsid w:val="004C7BD3"/>
    <w:rsid w:val="004D053A"/>
    <w:rsid w:val="004D2307"/>
    <w:rsid w:val="004D36BA"/>
    <w:rsid w:val="004D438C"/>
    <w:rsid w:val="004D6BF1"/>
    <w:rsid w:val="004D72FB"/>
    <w:rsid w:val="004E0288"/>
    <w:rsid w:val="004E0A6F"/>
    <w:rsid w:val="004E7E75"/>
    <w:rsid w:val="004F0BC4"/>
    <w:rsid w:val="004F5065"/>
    <w:rsid w:val="004F5A5B"/>
    <w:rsid w:val="00501533"/>
    <w:rsid w:val="005053FD"/>
    <w:rsid w:val="00506796"/>
    <w:rsid w:val="00507478"/>
    <w:rsid w:val="005153D5"/>
    <w:rsid w:val="00515BC5"/>
    <w:rsid w:val="00520687"/>
    <w:rsid w:val="00522923"/>
    <w:rsid w:val="00524A7D"/>
    <w:rsid w:val="00524F74"/>
    <w:rsid w:val="00532C35"/>
    <w:rsid w:val="00532CDF"/>
    <w:rsid w:val="0053716E"/>
    <w:rsid w:val="00540111"/>
    <w:rsid w:val="00540F67"/>
    <w:rsid w:val="00541CAA"/>
    <w:rsid w:val="00555C9F"/>
    <w:rsid w:val="0056050F"/>
    <w:rsid w:val="00560FDB"/>
    <w:rsid w:val="00561BFE"/>
    <w:rsid w:val="005657B4"/>
    <w:rsid w:val="00565E91"/>
    <w:rsid w:val="00570D0E"/>
    <w:rsid w:val="00574B18"/>
    <w:rsid w:val="00577681"/>
    <w:rsid w:val="00577E49"/>
    <w:rsid w:val="005807FA"/>
    <w:rsid w:val="005819CE"/>
    <w:rsid w:val="00581EDE"/>
    <w:rsid w:val="005828F3"/>
    <w:rsid w:val="00583C4E"/>
    <w:rsid w:val="00584535"/>
    <w:rsid w:val="005B049D"/>
    <w:rsid w:val="005B1024"/>
    <w:rsid w:val="005B2DED"/>
    <w:rsid w:val="005B49D5"/>
    <w:rsid w:val="005B4E58"/>
    <w:rsid w:val="005B5AEE"/>
    <w:rsid w:val="005C56CA"/>
    <w:rsid w:val="005D0A81"/>
    <w:rsid w:val="005D289A"/>
    <w:rsid w:val="005D5374"/>
    <w:rsid w:val="005D610F"/>
    <w:rsid w:val="005E5831"/>
    <w:rsid w:val="005E63C1"/>
    <w:rsid w:val="005E6CAD"/>
    <w:rsid w:val="005E7318"/>
    <w:rsid w:val="005E7A12"/>
    <w:rsid w:val="005F0FD1"/>
    <w:rsid w:val="005F2EF0"/>
    <w:rsid w:val="005F53A2"/>
    <w:rsid w:val="006035C7"/>
    <w:rsid w:val="0060529D"/>
    <w:rsid w:val="00605DC5"/>
    <w:rsid w:val="006062EA"/>
    <w:rsid w:val="0061060D"/>
    <w:rsid w:val="00610BD4"/>
    <w:rsid w:val="00611C4B"/>
    <w:rsid w:val="00612D82"/>
    <w:rsid w:val="0061484E"/>
    <w:rsid w:val="00617EB4"/>
    <w:rsid w:val="00622236"/>
    <w:rsid w:val="0062440F"/>
    <w:rsid w:val="00625F9E"/>
    <w:rsid w:val="00633591"/>
    <w:rsid w:val="0064086A"/>
    <w:rsid w:val="006451C9"/>
    <w:rsid w:val="00650E5C"/>
    <w:rsid w:val="00653394"/>
    <w:rsid w:val="00662CF0"/>
    <w:rsid w:val="00663FE4"/>
    <w:rsid w:val="00666185"/>
    <w:rsid w:val="006663BF"/>
    <w:rsid w:val="00666B7F"/>
    <w:rsid w:val="00672396"/>
    <w:rsid w:val="00676FEC"/>
    <w:rsid w:val="00685719"/>
    <w:rsid w:val="00692AC7"/>
    <w:rsid w:val="006933C4"/>
    <w:rsid w:val="006950EE"/>
    <w:rsid w:val="00696AF8"/>
    <w:rsid w:val="00696F7C"/>
    <w:rsid w:val="00697FE5"/>
    <w:rsid w:val="006A131E"/>
    <w:rsid w:val="006A79D6"/>
    <w:rsid w:val="006B1D31"/>
    <w:rsid w:val="006B50FD"/>
    <w:rsid w:val="006B5527"/>
    <w:rsid w:val="006B6137"/>
    <w:rsid w:val="006B7CD7"/>
    <w:rsid w:val="006C1A60"/>
    <w:rsid w:val="006C3804"/>
    <w:rsid w:val="006C4A5E"/>
    <w:rsid w:val="006D40BA"/>
    <w:rsid w:val="006E024F"/>
    <w:rsid w:val="006E5FA4"/>
    <w:rsid w:val="006F1E2E"/>
    <w:rsid w:val="006F5770"/>
    <w:rsid w:val="006F594D"/>
    <w:rsid w:val="006F613D"/>
    <w:rsid w:val="00705B51"/>
    <w:rsid w:val="00706B7B"/>
    <w:rsid w:val="007077C8"/>
    <w:rsid w:val="0071383F"/>
    <w:rsid w:val="00714310"/>
    <w:rsid w:val="00714A4F"/>
    <w:rsid w:val="007208BC"/>
    <w:rsid w:val="00727B59"/>
    <w:rsid w:val="007305A1"/>
    <w:rsid w:val="00732561"/>
    <w:rsid w:val="00735657"/>
    <w:rsid w:val="00737CB7"/>
    <w:rsid w:val="00740F0D"/>
    <w:rsid w:val="00743C51"/>
    <w:rsid w:val="007471EC"/>
    <w:rsid w:val="00747D28"/>
    <w:rsid w:val="00751C5A"/>
    <w:rsid w:val="00752F80"/>
    <w:rsid w:val="00755E9D"/>
    <w:rsid w:val="00757F5F"/>
    <w:rsid w:val="00762950"/>
    <w:rsid w:val="00764E1B"/>
    <w:rsid w:val="007732D4"/>
    <w:rsid w:val="00773D31"/>
    <w:rsid w:val="007818AE"/>
    <w:rsid w:val="0078381A"/>
    <w:rsid w:val="0078389D"/>
    <w:rsid w:val="00784A3F"/>
    <w:rsid w:val="00791BE2"/>
    <w:rsid w:val="00792131"/>
    <w:rsid w:val="00793A10"/>
    <w:rsid w:val="0079447B"/>
    <w:rsid w:val="00797DB6"/>
    <w:rsid w:val="007A4531"/>
    <w:rsid w:val="007A63D2"/>
    <w:rsid w:val="007B0720"/>
    <w:rsid w:val="007B0BA4"/>
    <w:rsid w:val="007B1078"/>
    <w:rsid w:val="007B2967"/>
    <w:rsid w:val="007C318F"/>
    <w:rsid w:val="007C5808"/>
    <w:rsid w:val="007C6E96"/>
    <w:rsid w:val="007D0676"/>
    <w:rsid w:val="007D1C71"/>
    <w:rsid w:val="007D5A43"/>
    <w:rsid w:val="007D610D"/>
    <w:rsid w:val="007D7F29"/>
    <w:rsid w:val="007E0706"/>
    <w:rsid w:val="007E5153"/>
    <w:rsid w:val="007F4028"/>
    <w:rsid w:val="007F79D9"/>
    <w:rsid w:val="0080535B"/>
    <w:rsid w:val="00807C81"/>
    <w:rsid w:val="00811E70"/>
    <w:rsid w:val="008151DC"/>
    <w:rsid w:val="00815C5E"/>
    <w:rsid w:val="00815DDA"/>
    <w:rsid w:val="00817BC5"/>
    <w:rsid w:val="0082173D"/>
    <w:rsid w:val="00821EED"/>
    <w:rsid w:val="0082579A"/>
    <w:rsid w:val="00825879"/>
    <w:rsid w:val="008274A2"/>
    <w:rsid w:val="00836B44"/>
    <w:rsid w:val="00837496"/>
    <w:rsid w:val="008411D6"/>
    <w:rsid w:val="00841FEF"/>
    <w:rsid w:val="008478F3"/>
    <w:rsid w:val="008505D0"/>
    <w:rsid w:val="008644B4"/>
    <w:rsid w:val="008652CF"/>
    <w:rsid w:val="00865C95"/>
    <w:rsid w:val="00866B53"/>
    <w:rsid w:val="008671E1"/>
    <w:rsid w:val="008723B9"/>
    <w:rsid w:val="00873452"/>
    <w:rsid w:val="0087425D"/>
    <w:rsid w:val="00875113"/>
    <w:rsid w:val="008771BD"/>
    <w:rsid w:val="00881089"/>
    <w:rsid w:val="00885675"/>
    <w:rsid w:val="008870DF"/>
    <w:rsid w:val="00887364"/>
    <w:rsid w:val="008879EA"/>
    <w:rsid w:val="0089016F"/>
    <w:rsid w:val="00890D19"/>
    <w:rsid w:val="008961A7"/>
    <w:rsid w:val="008961E1"/>
    <w:rsid w:val="008A0475"/>
    <w:rsid w:val="008A110B"/>
    <w:rsid w:val="008A1E21"/>
    <w:rsid w:val="008A221C"/>
    <w:rsid w:val="008B214F"/>
    <w:rsid w:val="008B2502"/>
    <w:rsid w:val="008B3C3F"/>
    <w:rsid w:val="008B5308"/>
    <w:rsid w:val="008B6F87"/>
    <w:rsid w:val="008B7093"/>
    <w:rsid w:val="008B76EA"/>
    <w:rsid w:val="008C04E1"/>
    <w:rsid w:val="008C12FA"/>
    <w:rsid w:val="008C16AC"/>
    <w:rsid w:val="008C7B68"/>
    <w:rsid w:val="008C7BE5"/>
    <w:rsid w:val="008D0A95"/>
    <w:rsid w:val="008D53CA"/>
    <w:rsid w:val="008D71A6"/>
    <w:rsid w:val="008E306C"/>
    <w:rsid w:val="008E3A21"/>
    <w:rsid w:val="008E6365"/>
    <w:rsid w:val="008E7877"/>
    <w:rsid w:val="008F0068"/>
    <w:rsid w:val="008F1716"/>
    <w:rsid w:val="008F5299"/>
    <w:rsid w:val="008F534E"/>
    <w:rsid w:val="008F5F1B"/>
    <w:rsid w:val="00910E29"/>
    <w:rsid w:val="00920DEC"/>
    <w:rsid w:val="00921D20"/>
    <w:rsid w:val="0092217C"/>
    <w:rsid w:val="009224F4"/>
    <w:rsid w:val="00924F01"/>
    <w:rsid w:val="00926E1B"/>
    <w:rsid w:val="0094023F"/>
    <w:rsid w:val="009406AF"/>
    <w:rsid w:val="009452AE"/>
    <w:rsid w:val="009468AF"/>
    <w:rsid w:val="00946B96"/>
    <w:rsid w:val="00953BDF"/>
    <w:rsid w:val="00956947"/>
    <w:rsid w:val="00960BF3"/>
    <w:rsid w:val="00962E0D"/>
    <w:rsid w:val="009641A0"/>
    <w:rsid w:val="0097467A"/>
    <w:rsid w:val="00974F94"/>
    <w:rsid w:val="00976940"/>
    <w:rsid w:val="00980E20"/>
    <w:rsid w:val="00980F7F"/>
    <w:rsid w:val="0098692A"/>
    <w:rsid w:val="009905BD"/>
    <w:rsid w:val="0099484D"/>
    <w:rsid w:val="0099679D"/>
    <w:rsid w:val="009A73C3"/>
    <w:rsid w:val="009B09A5"/>
    <w:rsid w:val="009B3480"/>
    <w:rsid w:val="009B5AD6"/>
    <w:rsid w:val="009C1AB9"/>
    <w:rsid w:val="009C5AAB"/>
    <w:rsid w:val="009C6873"/>
    <w:rsid w:val="009C6A55"/>
    <w:rsid w:val="009D1302"/>
    <w:rsid w:val="009D5EE7"/>
    <w:rsid w:val="009E61C9"/>
    <w:rsid w:val="009E79BD"/>
    <w:rsid w:val="009F07A0"/>
    <w:rsid w:val="009F30DA"/>
    <w:rsid w:val="009F3A73"/>
    <w:rsid w:val="00A07BBB"/>
    <w:rsid w:val="00A07D9D"/>
    <w:rsid w:val="00A07FF0"/>
    <w:rsid w:val="00A109DE"/>
    <w:rsid w:val="00A15426"/>
    <w:rsid w:val="00A16FF1"/>
    <w:rsid w:val="00A2190D"/>
    <w:rsid w:val="00A250E3"/>
    <w:rsid w:val="00A257A1"/>
    <w:rsid w:val="00A258DA"/>
    <w:rsid w:val="00A25E6E"/>
    <w:rsid w:val="00A26677"/>
    <w:rsid w:val="00A26B0B"/>
    <w:rsid w:val="00A27B0E"/>
    <w:rsid w:val="00A30FED"/>
    <w:rsid w:val="00A34ABF"/>
    <w:rsid w:val="00A34C40"/>
    <w:rsid w:val="00A3553A"/>
    <w:rsid w:val="00A3571F"/>
    <w:rsid w:val="00A3584C"/>
    <w:rsid w:val="00A359B6"/>
    <w:rsid w:val="00A46876"/>
    <w:rsid w:val="00A47711"/>
    <w:rsid w:val="00A477EC"/>
    <w:rsid w:val="00A54685"/>
    <w:rsid w:val="00A579E5"/>
    <w:rsid w:val="00A6077F"/>
    <w:rsid w:val="00A6208C"/>
    <w:rsid w:val="00A631AF"/>
    <w:rsid w:val="00A632AF"/>
    <w:rsid w:val="00A64881"/>
    <w:rsid w:val="00A64F4C"/>
    <w:rsid w:val="00A6502F"/>
    <w:rsid w:val="00A65AE9"/>
    <w:rsid w:val="00A66611"/>
    <w:rsid w:val="00A671E3"/>
    <w:rsid w:val="00A704EE"/>
    <w:rsid w:val="00A716CE"/>
    <w:rsid w:val="00A7283F"/>
    <w:rsid w:val="00A73D36"/>
    <w:rsid w:val="00A74237"/>
    <w:rsid w:val="00A753ED"/>
    <w:rsid w:val="00A77693"/>
    <w:rsid w:val="00A81035"/>
    <w:rsid w:val="00A906B4"/>
    <w:rsid w:val="00A95E8B"/>
    <w:rsid w:val="00AA421A"/>
    <w:rsid w:val="00AA4D31"/>
    <w:rsid w:val="00AA7265"/>
    <w:rsid w:val="00AB3BE5"/>
    <w:rsid w:val="00AB5BD9"/>
    <w:rsid w:val="00AC149D"/>
    <w:rsid w:val="00AC394A"/>
    <w:rsid w:val="00AC42C7"/>
    <w:rsid w:val="00AD0E89"/>
    <w:rsid w:val="00AD2B14"/>
    <w:rsid w:val="00AD4F8A"/>
    <w:rsid w:val="00AE2032"/>
    <w:rsid w:val="00AF0728"/>
    <w:rsid w:val="00AF5E91"/>
    <w:rsid w:val="00B1193D"/>
    <w:rsid w:val="00B12953"/>
    <w:rsid w:val="00B12A49"/>
    <w:rsid w:val="00B177EA"/>
    <w:rsid w:val="00B24409"/>
    <w:rsid w:val="00B26BBF"/>
    <w:rsid w:val="00B35D2F"/>
    <w:rsid w:val="00B37E95"/>
    <w:rsid w:val="00B41D63"/>
    <w:rsid w:val="00B42D57"/>
    <w:rsid w:val="00B43C52"/>
    <w:rsid w:val="00B469C8"/>
    <w:rsid w:val="00B57B11"/>
    <w:rsid w:val="00B57BB7"/>
    <w:rsid w:val="00B66417"/>
    <w:rsid w:val="00B67EED"/>
    <w:rsid w:val="00B73DB0"/>
    <w:rsid w:val="00B74043"/>
    <w:rsid w:val="00B77637"/>
    <w:rsid w:val="00B80E10"/>
    <w:rsid w:val="00B86E42"/>
    <w:rsid w:val="00B94877"/>
    <w:rsid w:val="00BA1D27"/>
    <w:rsid w:val="00BA2761"/>
    <w:rsid w:val="00BA3B54"/>
    <w:rsid w:val="00BA3F65"/>
    <w:rsid w:val="00BB0298"/>
    <w:rsid w:val="00BB3E0B"/>
    <w:rsid w:val="00BB3F0D"/>
    <w:rsid w:val="00BB487E"/>
    <w:rsid w:val="00BB7703"/>
    <w:rsid w:val="00BC1902"/>
    <w:rsid w:val="00BC403F"/>
    <w:rsid w:val="00BC5A0A"/>
    <w:rsid w:val="00BC5FE2"/>
    <w:rsid w:val="00BD231B"/>
    <w:rsid w:val="00BD4324"/>
    <w:rsid w:val="00BD7D6C"/>
    <w:rsid w:val="00BE0060"/>
    <w:rsid w:val="00BE0BB8"/>
    <w:rsid w:val="00BE2F99"/>
    <w:rsid w:val="00BE5437"/>
    <w:rsid w:val="00BE58A2"/>
    <w:rsid w:val="00BE72DC"/>
    <w:rsid w:val="00BF020E"/>
    <w:rsid w:val="00BF031A"/>
    <w:rsid w:val="00BF0AF8"/>
    <w:rsid w:val="00BF1BF2"/>
    <w:rsid w:val="00BF3B94"/>
    <w:rsid w:val="00BF468D"/>
    <w:rsid w:val="00BF5A43"/>
    <w:rsid w:val="00BF5B98"/>
    <w:rsid w:val="00C039A5"/>
    <w:rsid w:val="00C05185"/>
    <w:rsid w:val="00C05E0C"/>
    <w:rsid w:val="00C07389"/>
    <w:rsid w:val="00C07653"/>
    <w:rsid w:val="00C1247B"/>
    <w:rsid w:val="00C1352B"/>
    <w:rsid w:val="00C1578B"/>
    <w:rsid w:val="00C21966"/>
    <w:rsid w:val="00C22CF8"/>
    <w:rsid w:val="00C30824"/>
    <w:rsid w:val="00C320D6"/>
    <w:rsid w:val="00C43D41"/>
    <w:rsid w:val="00C444CD"/>
    <w:rsid w:val="00C4648E"/>
    <w:rsid w:val="00C50083"/>
    <w:rsid w:val="00C51877"/>
    <w:rsid w:val="00C52255"/>
    <w:rsid w:val="00C5243E"/>
    <w:rsid w:val="00C525C9"/>
    <w:rsid w:val="00C531A7"/>
    <w:rsid w:val="00C56B82"/>
    <w:rsid w:val="00C63AC6"/>
    <w:rsid w:val="00C6552D"/>
    <w:rsid w:val="00C65955"/>
    <w:rsid w:val="00C6789F"/>
    <w:rsid w:val="00C736AA"/>
    <w:rsid w:val="00C736B6"/>
    <w:rsid w:val="00C7534C"/>
    <w:rsid w:val="00C77AF3"/>
    <w:rsid w:val="00C81129"/>
    <w:rsid w:val="00C85187"/>
    <w:rsid w:val="00C85485"/>
    <w:rsid w:val="00C86992"/>
    <w:rsid w:val="00C87E30"/>
    <w:rsid w:val="00C9084D"/>
    <w:rsid w:val="00C91F45"/>
    <w:rsid w:val="00C92C46"/>
    <w:rsid w:val="00CA1775"/>
    <w:rsid w:val="00CB1B43"/>
    <w:rsid w:val="00CB2C68"/>
    <w:rsid w:val="00CB2F82"/>
    <w:rsid w:val="00CB35D8"/>
    <w:rsid w:val="00CB3ABF"/>
    <w:rsid w:val="00CB3ED9"/>
    <w:rsid w:val="00CB6244"/>
    <w:rsid w:val="00CB67E8"/>
    <w:rsid w:val="00CB7A68"/>
    <w:rsid w:val="00CD1DD9"/>
    <w:rsid w:val="00CD20FC"/>
    <w:rsid w:val="00CD301D"/>
    <w:rsid w:val="00CD507B"/>
    <w:rsid w:val="00CD63A4"/>
    <w:rsid w:val="00CD7123"/>
    <w:rsid w:val="00CE017B"/>
    <w:rsid w:val="00CE1C1A"/>
    <w:rsid w:val="00CE2175"/>
    <w:rsid w:val="00CE30E9"/>
    <w:rsid w:val="00CE6A32"/>
    <w:rsid w:val="00CF1137"/>
    <w:rsid w:val="00CF6CC5"/>
    <w:rsid w:val="00CF6EE9"/>
    <w:rsid w:val="00CF7277"/>
    <w:rsid w:val="00D10EA7"/>
    <w:rsid w:val="00D116FE"/>
    <w:rsid w:val="00D17342"/>
    <w:rsid w:val="00D23660"/>
    <w:rsid w:val="00D27358"/>
    <w:rsid w:val="00D33614"/>
    <w:rsid w:val="00D37DEE"/>
    <w:rsid w:val="00D427B5"/>
    <w:rsid w:val="00D504D1"/>
    <w:rsid w:val="00D5185A"/>
    <w:rsid w:val="00D54F6D"/>
    <w:rsid w:val="00D60C24"/>
    <w:rsid w:val="00D61C9A"/>
    <w:rsid w:val="00D625D1"/>
    <w:rsid w:val="00D63764"/>
    <w:rsid w:val="00D64C97"/>
    <w:rsid w:val="00D72907"/>
    <w:rsid w:val="00D74F92"/>
    <w:rsid w:val="00D86EA8"/>
    <w:rsid w:val="00D91473"/>
    <w:rsid w:val="00D9186B"/>
    <w:rsid w:val="00D92F83"/>
    <w:rsid w:val="00D95A33"/>
    <w:rsid w:val="00D975CB"/>
    <w:rsid w:val="00DB181C"/>
    <w:rsid w:val="00DB6780"/>
    <w:rsid w:val="00DC41B8"/>
    <w:rsid w:val="00DD3F68"/>
    <w:rsid w:val="00DD6A81"/>
    <w:rsid w:val="00DD6EB2"/>
    <w:rsid w:val="00DE0895"/>
    <w:rsid w:val="00DE359E"/>
    <w:rsid w:val="00DE52AD"/>
    <w:rsid w:val="00DE5826"/>
    <w:rsid w:val="00DE642F"/>
    <w:rsid w:val="00DF0ACE"/>
    <w:rsid w:val="00DF1072"/>
    <w:rsid w:val="00DF23AE"/>
    <w:rsid w:val="00DF2705"/>
    <w:rsid w:val="00DF2D7E"/>
    <w:rsid w:val="00DF2EBC"/>
    <w:rsid w:val="00DF491C"/>
    <w:rsid w:val="00DF5A12"/>
    <w:rsid w:val="00DF603F"/>
    <w:rsid w:val="00DF70C6"/>
    <w:rsid w:val="00DF79FD"/>
    <w:rsid w:val="00E033EB"/>
    <w:rsid w:val="00E111E0"/>
    <w:rsid w:val="00E17BC7"/>
    <w:rsid w:val="00E250ED"/>
    <w:rsid w:val="00E25939"/>
    <w:rsid w:val="00E25BC7"/>
    <w:rsid w:val="00E3064D"/>
    <w:rsid w:val="00E30B15"/>
    <w:rsid w:val="00E31065"/>
    <w:rsid w:val="00E316FC"/>
    <w:rsid w:val="00E332CD"/>
    <w:rsid w:val="00E3491B"/>
    <w:rsid w:val="00E35642"/>
    <w:rsid w:val="00E51872"/>
    <w:rsid w:val="00E5688F"/>
    <w:rsid w:val="00E60901"/>
    <w:rsid w:val="00E65607"/>
    <w:rsid w:val="00E70016"/>
    <w:rsid w:val="00E70094"/>
    <w:rsid w:val="00E74AF6"/>
    <w:rsid w:val="00E76807"/>
    <w:rsid w:val="00E77E8A"/>
    <w:rsid w:val="00E80618"/>
    <w:rsid w:val="00E80E75"/>
    <w:rsid w:val="00E83CCD"/>
    <w:rsid w:val="00E85236"/>
    <w:rsid w:val="00E90E63"/>
    <w:rsid w:val="00E921D9"/>
    <w:rsid w:val="00E933B4"/>
    <w:rsid w:val="00E93D83"/>
    <w:rsid w:val="00EA3245"/>
    <w:rsid w:val="00EA4307"/>
    <w:rsid w:val="00EA58B1"/>
    <w:rsid w:val="00EA59CE"/>
    <w:rsid w:val="00EA5F2A"/>
    <w:rsid w:val="00EB37EE"/>
    <w:rsid w:val="00EB6140"/>
    <w:rsid w:val="00EB66DA"/>
    <w:rsid w:val="00EC4CC0"/>
    <w:rsid w:val="00EC6086"/>
    <w:rsid w:val="00EC6497"/>
    <w:rsid w:val="00EC693E"/>
    <w:rsid w:val="00EC79F2"/>
    <w:rsid w:val="00ED233C"/>
    <w:rsid w:val="00EE1919"/>
    <w:rsid w:val="00EE3C72"/>
    <w:rsid w:val="00EE4135"/>
    <w:rsid w:val="00EF0254"/>
    <w:rsid w:val="00F03399"/>
    <w:rsid w:val="00F0378A"/>
    <w:rsid w:val="00F047B8"/>
    <w:rsid w:val="00F06A04"/>
    <w:rsid w:val="00F11E29"/>
    <w:rsid w:val="00F12AB4"/>
    <w:rsid w:val="00F145A6"/>
    <w:rsid w:val="00F15E64"/>
    <w:rsid w:val="00F17D49"/>
    <w:rsid w:val="00F306BE"/>
    <w:rsid w:val="00F33080"/>
    <w:rsid w:val="00F40F35"/>
    <w:rsid w:val="00F411AA"/>
    <w:rsid w:val="00F42AB3"/>
    <w:rsid w:val="00F460BB"/>
    <w:rsid w:val="00F513CD"/>
    <w:rsid w:val="00F51CEB"/>
    <w:rsid w:val="00F54B06"/>
    <w:rsid w:val="00F60BD3"/>
    <w:rsid w:val="00F632AE"/>
    <w:rsid w:val="00F66DE9"/>
    <w:rsid w:val="00F71020"/>
    <w:rsid w:val="00F77EA6"/>
    <w:rsid w:val="00F80A55"/>
    <w:rsid w:val="00F87ADF"/>
    <w:rsid w:val="00F90652"/>
    <w:rsid w:val="00F9610E"/>
    <w:rsid w:val="00F9681D"/>
    <w:rsid w:val="00FA2D02"/>
    <w:rsid w:val="00FA3EEF"/>
    <w:rsid w:val="00FB22E0"/>
    <w:rsid w:val="00FB494F"/>
    <w:rsid w:val="00FB60A9"/>
    <w:rsid w:val="00FC2301"/>
    <w:rsid w:val="00FC4312"/>
    <w:rsid w:val="00FC5208"/>
    <w:rsid w:val="00FC7BAC"/>
    <w:rsid w:val="00FD0FE5"/>
    <w:rsid w:val="00FD3C87"/>
    <w:rsid w:val="00FD5B25"/>
    <w:rsid w:val="00FD72F6"/>
    <w:rsid w:val="00FE1851"/>
    <w:rsid w:val="00FE1B71"/>
    <w:rsid w:val="00FE2667"/>
    <w:rsid w:val="00FE2699"/>
    <w:rsid w:val="00FF3322"/>
    <w:rsid w:val="00FF5316"/>
    <w:rsid w:val="00FF6A37"/>
    <w:rsid w:val="0BD8C0BB"/>
    <w:rsid w:val="0FCCF88A"/>
    <w:rsid w:val="2B7549A1"/>
    <w:rsid w:val="3A4640C9"/>
    <w:rsid w:val="6E13B7AF"/>
    <w:rsid w:val="7E4C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269F3"/>
  <w15:chartTrackingRefBased/>
  <w15:docId w15:val="{BA9DF8B4-6A17-488F-807C-BB18FC3A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rsid w:val="005E5831"/>
    <w:pPr>
      <w:keepNext/>
      <w:keepLines/>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30735F"/>
    <w:pPr>
      <w:tabs>
        <w:tab w:val="left" w:pos="480"/>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F06A04"/>
    <w:rPr>
      <w:rFonts w:ascii="Arial" w:eastAsia="Times New Roman" w:hAnsi="Arial" w:cs="Times New Roman"/>
      <w:bCs/>
      <w:sz w:val="24"/>
      <w:szCs w:val="26"/>
    </w:rPr>
  </w:style>
  <w:style w:type="paragraph" w:styleId="FootnoteText">
    <w:name w:val="footnote text"/>
    <w:basedOn w:val="Normal"/>
    <w:link w:val="FootnoteTextChar"/>
    <w:uiPriority w:val="99"/>
    <w:semiHidden/>
    <w:unhideWhenUsed/>
    <w:rsid w:val="00F06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04"/>
    <w:rPr>
      <w:rFonts w:ascii="Arial" w:hAnsi="Arial"/>
      <w:sz w:val="20"/>
      <w:szCs w:val="20"/>
    </w:rPr>
  </w:style>
  <w:style w:type="character" w:styleId="FootnoteReference">
    <w:name w:val="footnote reference"/>
    <w:basedOn w:val="DefaultParagraphFont"/>
    <w:uiPriority w:val="99"/>
    <w:unhideWhenUsed/>
    <w:rsid w:val="00F06A04"/>
    <w:rPr>
      <w:vertAlign w:val="superscript"/>
    </w:rPr>
  </w:style>
  <w:style w:type="character" w:styleId="UnresolvedMention">
    <w:name w:val="Unresolved Mention"/>
    <w:basedOn w:val="DefaultParagraphFont"/>
    <w:uiPriority w:val="99"/>
    <w:semiHidden/>
    <w:unhideWhenUsed/>
    <w:rsid w:val="00F06A04"/>
    <w:rPr>
      <w:color w:val="605E5C"/>
      <w:shd w:val="clear" w:color="auto" w:fill="E1DFDD"/>
    </w:rPr>
  </w:style>
  <w:style w:type="character" w:styleId="CommentReference">
    <w:name w:val="annotation reference"/>
    <w:basedOn w:val="DefaultParagraphFont"/>
    <w:uiPriority w:val="99"/>
    <w:semiHidden/>
    <w:unhideWhenUsed/>
    <w:rsid w:val="00A81035"/>
    <w:rPr>
      <w:sz w:val="16"/>
      <w:szCs w:val="16"/>
    </w:rPr>
  </w:style>
  <w:style w:type="paragraph" w:styleId="CommentText">
    <w:name w:val="annotation text"/>
    <w:basedOn w:val="Normal"/>
    <w:link w:val="CommentTextChar"/>
    <w:uiPriority w:val="99"/>
    <w:unhideWhenUsed/>
    <w:rsid w:val="00A81035"/>
    <w:pPr>
      <w:spacing w:line="240" w:lineRule="auto"/>
    </w:pPr>
    <w:rPr>
      <w:sz w:val="20"/>
      <w:szCs w:val="20"/>
    </w:rPr>
  </w:style>
  <w:style w:type="character" w:customStyle="1" w:styleId="CommentTextChar">
    <w:name w:val="Comment Text Char"/>
    <w:basedOn w:val="DefaultParagraphFont"/>
    <w:link w:val="CommentText"/>
    <w:uiPriority w:val="99"/>
    <w:rsid w:val="00A810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1035"/>
    <w:rPr>
      <w:b/>
      <w:bCs/>
    </w:rPr>
  </w:style>
  <w:style w:type="character" w:customStyle="1" w:styleId="CommentSubjectChar">
    <w:name w:val="Comment Subject Char"/>
    <w:basedOn w:val="CommentTextChar"/>
    <w:link w:val="CommentSubject"/>
    <w:uiPriority w:val="99"/>
    <w:semiHidden/>
    <w:rsid w:val="00A81035"/>
    <w:rPr>
      <w:rFonts w:ascii="Arial" w:hAnsi="Arial"/>
      <w:b/>
      <w:bCs/>
      <w:sz w:val="20"/>
      <w:szCs w:val="20"/>
    </w:rPr>
  </w:style>
  <w:style w:type="paragraph" w:styleId="BalloonText">
    <w:name w:val="Balloon Text"/>
    <w:basedOn w:val="Normal"/>
    <w:link w:val="BalloonTextChar"/>
    <w:uiPriority w:val="99"/>
    <w:semiHidden/>
    <w:unhideWhenUsed/>
    <w:rsid w:val="00A8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35"/>
    <w:rPr>
      <w:rFonts w:ascii="Segoe UI" w:hAnsi="Segoe UI" w:cs="Segoe UI"/>
      <w:sz w:val="18"/>
      <w:szCs w:val="18"/>
    </w:rPr>
  </w:style>
  <w:style w:type="character" w:styleId="FollowedHyperlink">
    <w:name w:val="FollowedHyperlink"/>
    <w:basedOn w:val="DefaultParagraphFont"/>
    <w:uiPriority w:val="99"/>
    <w:semiHidden/>
    <w:unhideWhenUsed/>
    <w:rsid w:val="000B16D5"/>
    <w:rPr>
      <w:color w:val="954F72" w:themeColor="followedHyperlink"/>
      <w:u w:val="single"/>
    </w:rPr>
  </w:style>
  <w:style w:type="paragraph" w:styleId="Revision">
    <w:name w:val="Revision"/>
    <w:hidden/>
    <w:uiPriority w:val="99"/>
    <w:semiHidden/>
    <w:rsid w:val="003B06BF"/>
    <w:pPr>
      <w:spacing w:after="0" w:line="240" w:lineRule="auto"/>
    </w:pPr>
    <w:rPr>
      <w:rFonts w:ascii="Arial" w:hAnsi="Arial"/>
      <w:sz w:val="24"/>
    </w:rPr>
  </w:style>
  <w:style w:type="character" w:styleId="Strong">
    <w:name w:val="Strong"/>
    <w:basedOn w:val="DefaultParagraphFont"/>
    <w:uiPriority w:val="22"/>
    <w:qFormat/>
    <w:rsid w:val="008B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403">
      <w:bodyDiv w:val="1"/>
      <w:marLeft w:val="0"/>
      <w:marRight w:val="0"/>
      <w:marTop w:val="0"/>
      <w:marBottom w:val="0"/>
      <w:divBdr>
        <w:top w:val="none" w:sz="0" w:space="0" w:color="auto"/>
        <w:left w:val="none" w:sz="0" w:space="0" w:color="auto"/>
        <w:bottom w:val="none" w:sz="0" w:space="0" w:color="auto"/>
        <w:right w:val="none" w:sz="0" w:space="0" w:color="auto"/>
      </w:divBdr>
    </w:div>
    <w:div w:id="101654004">
      <w:bodyDiv w:val="1"/>
      <w:marLeft w:val="0"/>
      <w:marRight w:val="0"/>
      <w:marTop w:val="0"/>
      <w:marBottom w:val="0"/>
      <w:divBdr>
        <w:top w:val="none" w:sz="0" w:space="0" w:color="auto"/>
        <w:left w:val="none" w:sz="0" w:space="0" w:color="auto"/>
        <w:bottom w:val="none" w:sz="0" w:space="0" w:color="auto"/>
        <w:right w:val="none" w:sz="0" w:space="0" w:color="auto"/>
      </w:divBdr>
    </w:div>
    <w:div w:id="361708707">
      <w:bodyDiv w:val="1"/>
      <w:marLeft w:val="0"/>
      <w:marRight w:val="0"/>
      <w:marTop w:val="0"/>
      <w:marBottom w:val="0"/>
      <w:divBdr>
        <w:top w:val="none" w:sz="0" w:space="0" w:color="auto"/>
        <w:left w:val="none" w:sz="0" w:space="0" w:color="auto"/>
        <w:bottom w:val="none" w:sz="0" w:space="0" w:color="auto"/>
        <w:right w:val="none" w:sz="0" w:space="0" w:color="auto"/>
      </w:divBdr>
    </w:div>
    <w:div w:id="378290334">
      <w:bodyDiv w:val="1"/>
      <w:marLeft w:val="0"/>
      <w:marRight w:val="0"/>
      <w:marTop w:val="0"/>
      <w:marBottom w:val="0"/>
      <w:divBdr>
        <w:top w:val="none" w:sz="0" w:space="0" w:color="auto"/>
        <w:left w:val="none" w:sz="0" w:space="0" w:color="auto"/>
        <w:bottom w:val="none" w:sz="0" w:space="0" w:color="auto"/>
        <w:right w:val="none" w:sz="0" w:space="0" w:color="auto"/>
      </w:divBdr>
    </w:div>
    <w:div w:id="530384556">
      <w:bodyDiv w:val="1"/>
      <w:marLeft w:val="0"/>
      <w:marRight w:val="0"/>
      <w:marTop w:val="0"/>
      <w:marBottom w:val="0"/>
      <w:divBdr>
        <w:top w:val="none" w:sz="0" w:space="0" w:color="auto"/>
        <w:left w:val="none" w:sz="0" w:space="0" w:color="auto"/>
        <w:bottom w:val="none" w:sz="0" w:space="0" w:color="auto"/>
        <w:right w:val="none" w:sz="0" w:space="0" w:color="auto"/>
      </w:divBdr>
    </w:div>
    <w:div w:id="569654542">
      <w:bodyDiv w:val="1"/>
      <w:marLeft w:val="0"/>
      <w:marRight w:val="0"/>
      <w:marTop w:val="0"/>
      <w:marBottom w:val="0"/>
      <w:divBdr>
        <w:top w:val="none" w:sz="0" w:space="0" w:color="auto"/>
        <w:left w:val="none" w:sz="0" w:space="0" w:color="auto"/>
        <w:bottom w:val="none" w:sz="0" w:space="0" w:color="auto"/>
        <w:right w:val="none" w:sz="0" w:space="0" w:color="auto"/>
      </w:divBdr>
    </w:div>
    <w:div w:id="653870808">
      <w:bodyDiv w:val="1"/>
      <w:marLeft w:val="0"/>
      <w:marRight w:val="0"/>
      <w:marTop w:val="0"/>
      <w:marBottom w:val="0"/>
      <w:divBdr>
        <w:top w:val="none" w:sz="0" w:space="0" w:color="auto"/>
        <w:left w:val="none" w:sz="0" w:space="0" w:color="auto"/>
        <w:bottom w:val="none" w:sz="0" w:space="0" w:color="auto"/>
        <w:right w:val="none" w:sz="0" w:space="0" w:color="auto"/>
      </w:divBdr>
    </w:div>
    <w:div w:id="777062889">
      <w:bodyDiv w:val="1"/>
      <w:marLeft w:val="0"/>
      <w:marRight w:val="0"/>
      <w:marTop w:val="0"/>
      <w:marBottom w:val="0"/>
      <w:divBdr>
        <w:top w:val="none" w:sz="0" w:space="0" w:color="auto"/>
        <w:left w:val="none" w:sz="0" w:space="0" w:color="auto"/>
        <w:bottom w:val="none" w:sz="0" w:space="0" w:color="auto"/>
        <w:right w:val="none" w:sz="0" w:space="0" w:color="auto"/>
      </w:divBdr>
    </w:div>
    <w:div w:id="813178455">
      <w:bodyDiv w:val="1"/>
      <w:marLeft w:val="0"/>
      <w:marRight w:val="0"/>
      <w:marTop w:val="0"/>
      <w:marBottom w:val="0"/>
      <w:divBdr>
        <w:top w:val="none" w:sz="0" w:space="0" w:color="auto"/>
        <w:left w:val="none" w:sz="0" w:space="0" w:color="auto"/>
        <w:bottom w:val="none" w:sz="0" w:space="0" w:color="auto"/>
        <w:right w:val="none" w:sz="0" w:space="0" w:color="auto"/>
      </w:divBdr>
    </w:div>
    <w:div w:id="952051046">
      <w:bodyDiv w:val="1"/>
      <w:marLeft w:val="0"/>
      <w:marRight w:val="0"/>
      <w:marTop w:val="0"/>
      <w:marBottom w:val="0"/>
      <w:divBdr>
        <w:top w:val="none" w:sz="0" w:space="0" w:color="auto"/>
        <w:left w:val="none" w:sz="0" w:space="0" w:color="auto"/>
        <w:bottom w:val="none" w:sz="0" w:space="0" w:color="auto"/>
        <w:right w:val="none" w:sz="0" w:space="0" w:color="auto"/>
      </w:divBdr>
    </w:div>
    <w:div w:id="1138457405">
      <w:bodyDiv w:val="1"/>
      <w:marLeft w:val="0"/>
      <w:marRight w:val="0"/>
      <w:marTop w:val="0"/>
      <w:marBottom w:val="0"/>
      <w:divBdr>
        <w:top w:val="none" w:sz="0" w:space="0" w:color="auto"/>
        <w:left w:val="none" w:sz="0" w:space="0" w:color="auto"/>
        <w:bottom w:val="none" w:sz="0" w:space="0" w:color="auto"/>
        <w:right w:val="none" w:sz="0" w:space="0" w:color="auto"/>
      </w:divBdr>
    </w:div>
    <w:div w:id="1298950278">
      <w:bodyDiv w:val="1"/>
      <w:marLeft w:val="0"/>
      <w:marRight w:val="0"/>
      <w:marTop w:val="0"/>
      <w:marBottom w:val="0"/>
      <w:divBdr>
        <w:top w:val="none" w:sz="0" w:space="0" w:color="auto"/>
        <w:left w:val="none" w:sz="0" w:space="0" w:color="auto"/>
        <w:bottom w:val="none" w:sz="0" w:space="0" w:color="auto"/>
        <w:right w:val="none" w:sz="0" w:space="0" w:color="auto"/>
      </w:divBdr>
    </w:div>
    <w:div w:id="1442919542">
      <w:bodyDiv w:val="1"/>
      <w:marLeft w:val="0"/>
      <w:marRight w:val="0"/>
      <w:marTop w:val="0"/>
      <w:marBottom w:val="0"/>
      <w:divBdr>
        <w:top w:val="none" w:sz="0" w:space="0" w:color="auto"/>
        <w:left w:val="none" w:sz="0" w:space="0" w:color="auto"/>
        <w:bottom w:val="none" w:sz="0" w:space="0" w:color="auto"/>
        <w:right w:val="none" w:sz="0" w:space="0" w:color="auto"/>
      </w:divBdr>
    </w:div>
    <w:div w:id="1572034146">
      <w:bodyDiv w:val="1"/>
      <w:marLeft w:val="0"/>
      <w:marRight w:val="0"/>
      <w:marTop w:val="0"/>
      <w:marBottom w:val="0"/>
      <w:divBdr>
        <w:top w:val="none" w:sz="0" w:space="0" w:color="auto"/>
        <w:left w:val="none" w:sz="0" w:space="0" w:color="auto"/>
        <w:bottom w:val="none" w:sz="0" w:space="0" w:color="auto"/>
        <w:right w:val="none" w:sz="0" w:space="0" w:color="auto"/>
      </w:divBdr>
    </w:div>
    <w:div w:id="1671836947">
      <w:bodyDiv w:val="1"/>
      <w:marLeft w:val="0"/>
      <w:marRight w:val="0"/>
      <w:marTop w:val="0"/>
      <w:marBottom w:val="0"/>
      <w:divBdr>
        <w:top w:val="none" w:sz="0" w:space="0" w:color="auto"/>
        <w:left w:val="none" w:sz="0" w:space="0" w:color="auto"/>
        <w:bottom w:val="none" w:sz="0" w:space="0" w:color="auto"/>
        <w:right w:val="none" w:sz="0" w:space="0" w:color="auto"/>
      </w:divBdr>
    </w:div>
    <w:div w:id="1695426092">
      <w:bodyDiv w:val="1"/>
      <w:marLeft w:val="0"/>
      <w:marRight w:val="0"/>
      <w:marTop w:val="0"/>
      <w:marBottom w:val="0"/>
      <w:divBdr>
        <w:top w:val="none" w:sz="0" w:space="0" w:color="auto"/>
        <w:left w:val="none" w:sz="0" w:space="0" w:color="auto"/>
        <w:bottom w:val="none" w:sz="0" w:space="0" w:color="auto"/>
        <w:right w:val="none" w:sz="0" w:space="0" w:color="auto"/>
      </w:divBdr>
    </w:div>
    <w:div w:id="1702050480">
      <w:bodyDiv w:val="1"/>
      <w:marLeft w:val="0"/>
      <w:marRight w:val="0"/>
      <w:marTop w:val="0"/>
      <w:marBottom w:val="0"/>
      <w:divBdr>
        <w:top w:val="none" w:sz="0" w:space="0" w:color="auto"/>
        <w:left w:val="none" w:sz="0" w:space="0" w:color="auto"/>
        <w:bottom w:val="none" w:sz="0" w:space="0" w:color="auto"/>
        <w:right w:val="none" w:sz="0" w:space="0" w:color="auto"/>
      </w:divBdr>
    </w:div>
    <w:div w:id="1911429091">
      <w:bodyDiv w:val="1"/>
      <w:marLeft w:val="0"/>
      <w:marRight w:val="0"/>
      <w:marTop w:val="0"/>
      <w:marBottom w:val="0"/>
      <w:divBdr>
        <w:top w:val="none" w:sz="0" w:space="0" w:color="auto"/>
        <w:left w:val="none" w:sz="0" w:space="0" w:color="auto"/>
        <w:bottom w:val="none" w:sz="0" w:space="0" w:color="auto"/>
        <w:right w:val="none" w:sz="0" w:space="0" w:color="auto"/>
      </w:divBdr>
    </w:div>
    <w:div w:id="20526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longtermplan.nhs.uk/online-ver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olypharmacy.scot.nhs.uk/polypharmacy-guidance-medicines-review/for-healthcare-professionals/principles/the-7-steps-medication-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athways.nice.org.uk/pathways/medicines-optimisation/medication-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gland.nhs.uk/publication/public-health-national-service-specific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ng27/chapter/Recommendations" TargetMode="External"/><Relationship Id="rId3" Type="http://schemas.openxmlformats.org/officeDocument/2006/relationships/hyperlink" Target="https://psnc.org.uk/services-commissioning/locally-commissioned-services/healthy-living-pharmacies/" TargetMode="External"/><Relationship Id="rId7" Type="http://schemas.openxmlformats.org/officeDocument/2006/relationships/hyperlink" Target="https://stpsupport.nice.org.uk/transfer-of-care/index.html" TargetMode="External"/><Relationship Id="rId2" Type="http://schemas.openxmlformats.org/officeDocument/2006/relationships/hyperlink" Target="https://www.gov.uk/government/publications/community-pharmacy-contractual-framework-2019-to-2024" TargetMode="External"/><Relationship Id="rId1" Type="http://schemas.openxmlformats.org/officeDocument/2006/relationships/hyperlink" Target="https://www.pharmaceutical-journal.com/news-and-analysis/news/medication-related-harm-in-older-adults-costs-the-nhs-400m-each-year-study-finds/20204894.article?firstPass=false" TargetMode="External"/><Relationship Id="rId6" Type="http://schemas.openxmlformats.org/officeDocument/2006/relationships/hyperlink" Target="https://www.health.org.uk/publications/reports/emergency-admissions-to-hospital-from-care-homes" TargetMode="External"/><Relationship Id="rId5" Type="http://schemas.openxmlformats.org/officeDocument/2006/relationships/hyperlink" Target="https://www.england.nhs.uk/wp-content/uploads/2016/09/ehch-framework-v2.pdf" TargetMode="External"/><Relationship Id="rId10" Type="http://schemas.openxmlformats.org/officeDocument/2006/relationships/hyperlink" Target="https://www.england.nhs.uk/personalisedcare/supported-self-management/patient-activation/pa-faqs/" TargetMode="External"/><Relationship Id="rId4" Type="http://schemas.openxmlformats.org/officeDocument/2006/relationships/hyperlink" Target="https://www.longtermplan.nhs.uk/online-version/chapter-1-a-new-service-model-for-the-21st-century/1-we-will-boost-out-of-hospital-care-and-finally-dissolve-the-historic-divide-between-primary-and-community-health-services/" TargetMode="External"/><Relationship Id="rId9" Type="http://schemas.openxmlformats.org/officeDocument/2006/relationships/hyperlink" Target="https://www.england.nhs.uk/wp-content/uploads/2019/01/universal-personalised-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2FA893DC86346B5402FD322CE9FE0" ma:contentTypeVersion="2" ma:contentTypeDescription="Create a new document." ma:contentTypeScope="" ma:versionID="41d704bdd3a00bc2023e728690552085">
  <xsd:schema xmlns:xsd="http://www.w3.org/2001/XMLSchema" xmlns:xs="http://www.w3.org/2001/XMLSchema" xmlns:p="http://schemas.microsoft.com/office/2006/metadata/properties" xmlns:ns2="d92184eb-6fcc-45b9-8e74-73450c2ad6a5" targetNamespace="http://schemas.microsoft.com/office/2006/metadata/properties" ma:root="true" ma:fieldsID="4798e8f023ee42c65973364b2d043e63" ns2:_="">
    <xsd:import namespace="d92184eb-6fcc-45b9-8e74-73450c2ad6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184eb-6fcc-45b9-8e74-73450c2a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92184eb-6fcc-45b9-8e74-73450c2ad6a5"/>
    <ds:schemaRef ds:uri="http://www.w3.org/XML/1998/namespace"/>
    <ds:schemaRef ds:uri="http://purl.org/dc/dcmitype/"/>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A70306EA-AB98-40DA-B2E7-1126B68C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184eb-6fcc-45b9-8e74-73450c2a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E821F-6640-4271-88B6-4E676119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11577</Words>
  <Characters>65992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77415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Paul Goulding</cp:lastModifiedBy>
  <cp:revision>4</cp:revision>
  <dcterms:created xsi:type="dcterms:W3CDTF">2019-12-18T14:24:00Z</dcterms:created>
  <dcterms:modified xsi:type="dcterms:W3CDTF">2019-12-20T15:50:00Z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0x010100D642FA893DC86346B5402FD322CE9FE0</vt:lpwstr>
  </property>
  <property fmtid="{D5CDD505-2E9C-101B-9397-08002B2CF9AE}" pid="3" name="TaxKeyword">
    <vt:lpwstr>21;#visual identity|0a0163ae-5848-43fd-814f-2aee77efba28</vt:lpwstr>
  </property>
</Properties>
</file>